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23" w:rsidRPr="00D836A2" w:rsidRDefault="004C06D2" w:rsidP="005D10D8">
      <w:pPr>
        <w:pStyle w:val="MDPI11articletype"/>
      </w:pPr>
      <w:r w:rsidRPr="00D836A2">
        <w:t>Article</w:t>
      </w:r>
    </w:p>
    <w:p w:rsidR="00EA6423" w:rsidRPr="00D836A2" w:rsidRDefault="00EB721D" w:rsidP="005D10D8">
      <w:pPr>
        <w:pStyle w:val="MDPI12title"/>
        <w:spacing w:line="240" w:lineRule="atLeast"/>
        <w:rPr>
          <w:szCs w:val="36"/>
        </w:rPr>
      </w:pPr>
      <w:bookmarkStart w:id="0" w:name="_GoBack"/>
      <w:r w:rsidRPr="00D836A2">
        <w:rPr>
          <w:rFonts w:cs="Calibri"/>
          <w:szCs w:val="36"/>
        </w:rPr>
        <w:t xml:space="preserve">Nutritional Quality of School Meals </w:t>
      </w:r>
      <w:bookmarkEnd w:id="0"/>
      <w:r w:rsidRPr="00D836A2">
        <w:rPr>
          <w:rFonts w:cs="Calibri"/>
          <w:szCs w:val="36"/>
        </w:rPr>
        <w:t>in France: Impact of Guidelines and the Role of Protein Dishes</w:t>
      </w:r>
    </w:p>
    <w:p w:rsidR="00EB721D" w:rsidRPr="000E3BDE" w:rsidRDefault="00EB721D" w:rsidP="005D10D8">
      <w:pPr>
        <w:pStyle w:val="MDPI13authornames"/>
        <w:rPr>
          <w:lang w:val="fr-FR"/>
        </w:rPr>
      </w:pPr>
      <w:r w:rsidRPr="000E3BDE">
        <w:rPr>
          <w:lang w:val="fr-FR"/>
        </w:rPr>
        <w:t>Florent Vieux</w:t>
      </w:r>
      <w:r w:rsidR="000B4ED7" w:rsidRPr="000E3BDE">
        <w:rPr>
          <w:lang w:val="fr-FR"/>
        </w:rPr>
        <w:t xml:space="preserve"> </w:t>
      </w:r>
      <w:r w:rsidRPr="000E3BDE">
        <w:rPr>
          <w:vertAlign w:val="superscript"/>
          <w:lang w:val="fr-FR"/>
        </w:rPr>
        <w:t>1</w:t>
      </w:r>
      <w:r w:rsidRPr="000E3BDE">
        <w:rPr>
          <w:lang w:val="fr-FR"/>
        </w:rPr>
        <w:t>, Christophe Dubois</w:t>
      </w:r>
      <w:r w:rsidR="000B4ED7" w:rsidRPr="000E3BDE">
        <w:rPr>
          <w:lang w:val="fr-FR"/>
        </w:rPr>
        <w:t xml:space="preserve"> </w:t>
      </w:r>
      <w:r w:rsidRPr="000E3BDE">
        <w:rPr>
          <w:vertAlign w:val="superscript"/>
          <w:lang w:val="fr-FR"/>
        </w:rPr>
        <w:t>2</w:t>
      </w:r>
      <w:r w:rsidRPr="000E3BDE">
        <w:rPr>
          <w:lang w:val="fr-FR"/>
        </w:rPr>
        <w:t>, Christelle Duchêne</w:t>
      </w:r>
      <w:r w:rsidR="000B4ED7" w:rsidRPr="000E3BDE">
        <w:rPr>
          <w:lang w:val="fr-FR"/>
        </w:rPr>
        <w:t xml:space="preserve"> </w:t>
      </w:r>
      <w:r w:rsidRPr="000E3BDE">
        <w:rPr>
          <w:vertAlign w:val="superscript"/>
          <w:lang w:val="fr-FR"/>
        </w:rPr>
        <w:t>3</w:t>
      </w:r>
      <w:r w:rsidR="0073418E" w:rsidRPr="000E3BDE">
        <w:rPr>
          <w:lang w:val="fr-FR"/>
        </w:rPr>
        <w:t xml:space="preserve"> and </w:t>
      </w:r>
      <w:r w:rsidRPr="000E3BDE">
        <w:rPr>
          <w:lang w:val="fr-FR"/>
        </w:rPr>
        <w:t>Nicole Darmon</w:t>
      </w:r>
      <w:r w:rsidR="000B4ED7" w:rsidRPr="000E3BDE">
        <w:rPr>
          <w:lang w:val="fr-FR"/>
        </w:rPr>
        <w:t xml:space="preserve"> </w:t>
      </w:r>
      <w:r w:rsidRPr="000E3BDE">
        <w:rPr>
          <w:vertAlign w:val="superscript"/>
          <w:lang w:val="fr-FR"/>
        </w:rPr>
        <w:t>4-5</w:t>
      </w:r>
      <w:r w:rsidR="000B4ED7" w:rsidRPr="000E3BDE">
        <w:rPr>
          <w:vertAlign w:val="superscript"/>
          <w:lang w:val="fr-FR"/>
        </w:rPr>
        <w:t>*</w:t>
      </w:r>
    </w:p>
    <w:p w:rsidR="000D0B2F" w:rsidRPr="000E3BDE" w:rsidRDefault="000D0B2F" w:rsidP="009F3C1B">
      <w:pPr>
        <w:pStyle w:val="MDPI16affiliation"/>
        <w:rPr>
          <w:lang w:val="fr-FR"/>
        </w:rPr>
      </w:pPr>
      <w:r w:rsidRPr="000E3BDE">
        <w:rPr>
          <w:vertAlign w:val="superscript"/>
          <w:lang w:val="fr-FR"/>
        </w:rPr>
        <w:t>1</w:t>
      </w:r>
      <w:r w:rsidR="00EB721D" w:rsidRPr="000E3BDE">
        <w:rPr>
          <w:lang w:val="fr-FR"/>
        </w:rPr>
        <w:tab/>
        <w:t>MS-Nutrition, 13385 Marseille Cedex 05, France</w:t>
      </w:r>
      <w:r w:rsidRPr="000E3BDE">
        <w:rPr>
          <w:lang w:val="fr-FR"/>
        </w:rPr>
        <w:t xml:space="preserve">; </w:t>
      </w:r>
      <w:r w:rsidR="00EB721D" w:rsidRPr="000E3BDE">
        <w:rPr>
          <w:lang w:val="fr-FR"/>
        </w:rPr>
        <w:t>florent.vieux@ms-nutrition.com</w:t>
      </w:r>
    </w:p>
    <w:p w:rsidR="000D0B2F" w:rsidRPr="000E3BDE" w:rsidRDefault="000D0B2F" w:rsidP="00FA09F5">
      <w:pPr>
        <w:pStyle w:val="MDPI16affiliation"/>
        <w:rPr>
          <w:lang w:val="fr-FR"/>
        </w:rPr>
      </w:pPr>
      <w:r w:rsidRPr="000E3BDE">
        <w:rPr>
          <w:szCs w:val="20"/>
          <w:vertAlign w:val="superscript"/>
          <w:lang w:val="fr-FR"/>
        </w:rPr>
        <w:t>2</w:t>
      </w:r>
      <w:r w:rsidRPr="000E3BDE">
        <w:rPr>
          <w:szCs w:val="20"/>
          <w:lang w:val="fr-FR"/>
        </w:rPr>
        <w:tab/>
      </w:r>
      <w:r w:rsidR="00EB721D" w:rsidRPr="000E3BDE">
        <w:rPr>
          <w:lang w:val="fr-FR"/>
        </w:rPr>
        <w:t>Trophis, 13170 Les Pennes Mirabeau, France</w:t>
      </w:r>
      <w:r w:rsidRPr="000E3BDE">
        <w:rPr>
          <w:szCs w:val="20"/>
          <w:lang w:val="fr-FR"/>
        </w:rPr>
        <w:t xml:space="preserve">; </w:t>
      </w:r>
      <w:hyperlink r:id="rId9" w:history="1">
        <w:r w:rsidR="00EB721D" w:rsidRPr="000E3BDE">
          <w:rPr>
            <w:rStyle w:val="Lienhypertexte"/>
            <w:lang w:val="fr-FR"/>
          </w:rPr>
          <w:t>solce@free.fr</w:t>
        </w:r>
      </w:hyperlink>
    </w:p>
    <w:p w:rsidR="00EB721D" w:rsidRPr="000E3BDE" w:rsidRDefault="00EB721D" w:rsidP="005D10D8">
      <w:pPr>
        <w:pStyle w:val="MDPI16affiliation"/>
        <w:rPr>
          <w:lang w:val="fr-FR"/>
        </w:rPr>
      </w:pPr>
      <w:r w:rsidRPr="000E3BDE">
        <w:rPr>
          <w:szCs w:val="20"/>
          <w:vertAlign w:val="superscript"/>
          <w:lang w:val="fr-FR"/>
        </w:rPr>
        <w:t>3</w:t>
      </w:r>
      <w:r w:rsidRPr="000E3BDE">
        <w:rPr>
          <w:szCs w:val="20"/>
          <w:vertAlign w:val="superscript"/>
          <w:lang w:val="fr-FR"/>
        </w:rPr>
        <w:tab/>
      </w:r>
      <w:r w:rsidRPr="000E3BDE">
        <w:rPr>
          <w:lang w:val="fr-FR"/>
        </w:rPr>
        <w:t xml:space="preserve">CIV– Viande, Sciences et Société, 207, rue de Bercy, TSA 41309 - 75564 Paris Cedex 12 ; </w:t>
      </w:r>
      <w:hyperlink r:id="rId10" w:history="1">
        <w:r w:rsidRPr="000E3BDE">
          <w:rPr>
            <w:rStyle w:val="Lienhypertexte"/>
            <w:lang w:val="fr-FR"/>
          </w:rPr>
          <w:t>c.duchene@interbev.fr</w:t>
        </w:r>
      </w:hyperlink>
    </w:p>
    <w:p w:rsidR="00EB721D" w:rsidRPr="00D836A2" w:rsidRDefault="00EB721D" w:rsidP="005D10D8">
      <w:pPr>
        <w:pStyle w:val="MDPI16affiliation"/>
      </w:pPr>
      <w:r w:rsidRPr="00D836A2">
        <w:rPr>
          <w:szCs w:val="20"/>
          <w:vertAlign w:val="superscript"/>
        </w:rPr>
        <w:t>4</w:t>
      </w:r>
      <w:r w:rsidRPr="00D836A2">
        <w:rPr>
          <w:szCs w:val="20"/>
          <w:vertAlign w:val="superscript"/>
        </w:rPr>
        <w:tab/>
      </w:r>
      <w:r w:rsidRPr="00D836A2">
        <w:t>UMR NORT (Mixed Research Unit – Nutrition, Obesity and Risk of Thrombosis), INRA 1260, Aix-Marseille University, INSERM, 13005 Marseille, France ; nicole.darmon@inra.fr</w:t>
      </w:r>
    </w:p>
    <w:p w:rsidR="00EB721D" w:rsidRPr="000E3BDE" w:rsidRDefault="00EB721D" w:rsidP="005D10D8">
      <w:pPr>
        <w:pStyle w:val="MDPI16affiliation"/>
        <w:rPr>
          <w:szCs w:val="20"/>
          <w:vertAlign w:val="superscript"/>
          <w:lang w:val="fr-FR"/>
        </w:rPr>
      </w:pPr>
      <w:r w:rsidRPr="000E3BDE">
        <w:rPr>
          <w:vertAlign w:val="superscript"/>
          <w:lang w:val="fr-FR"/>
        </w:rPr>
        <w:t>5</w:t>
      </w:r>
      <w:r w:rsidRPr="000E3BDE">
        <w:rPr>
          <w:lang w:val="fr-FR"/>
        </w:rPr>
        <w:tab/>
        <w:t>MOISA, INRA, CIHEAM-IAMM, CIRAD, Montpellier SupAgro, Univ</w:t>
      </w:r>
      <w:r w:rsidR="005B4B13" w:rsidRPr="000E3BDE">
        <w:rPr>
          <w:lang w:val="fr-FR"/>
        </w:rPr>
        <w:t>ersité de</w:t>
      </w:r>
      <w:r w:rsidRPr="000E3BDE">
        <w:rPr>
          <w:lang w:val="fr-FR"/>
        </w:rPr>
        <w:t xml:space="preserve"> Montpellier, France; nicole.darmon@inra.fr</w:t>
      </w:r>
    </w:p>
    <w:p w:rsidR="000D0B2F" w:rsidRPr="00D836A2" w:rsidRDefault="000D0B2F" w:rsidP="005D10D8">
      <w:pPr>
        <w:pStyle w:val="Mdeck2authorcorrespondence"/>
      </w:pPr>
      <w:r w:rsidRPr="00D836A2">
        <w:rPr>
          <w:b/>
        </w:rPr>
        <w:t>*</w:t>
      </w:r>
      <w:r w:rsidRPr="00D836A2">
        <w:tab/>
        <w:t xml:space="preserve">Correspondence: </w:t>
      </w:r>
      <w:r w:rsidR="000B4ED7" w:rsidRPr="00D836A2">
        <w:t>nicole.darmon@inra.fr</w:t>
      </w:r>
      <w:r w:rsidRPr="00D836A2">
        <w:t>; Tel.: +</w:t>
      </w:r>
      <w:r w:rsidR="000B4ED7" w:rsidRPr="00D836A2">
        <w:t>33 633189586</w:t>
      </w:r>
    </w:p>
    <w:p w:rsidR="000D0B2F" w:rsidRPr="00D836A2" w:rsidRDefault="000D0B2F" w:rsidP="005D10D8">
      <w:pPr>
        <w:pStyle w:val="MDPI15academiceditor"/>
        <w:spacing w:before="120" w:after="0"/>
      </w:pPr>
      <w:r w:rsidRPr="00D836A2">
        <w:t>Received: date; Accepted: date; Published: date</w:t>
      </w:r>
    </w:p>
    <w:p w:rsidR="00810A9A" w:rsidRPr="00D836A2" w:rsidRDefault="00EA6423" w:rsidP="00937DEA">
      <w:pPr>
        <w:pStyle w:val="MDPI17abstract"/>
        <w:rPr>
          <w:b/>
        </w:rPr>
      </w:pPr>
      <w:r w:rsidRPr="00937DEA">
        <w:rPr>
          <w:b/>
        </w:rPr>
        <w:t>Abstract:</w:t>
      </w:r>
      <w:r w:rsidRPr="00D836A2">
        <w:t xml:space="preserve"> </w:t>
      </w:r>
      <w:r w:rsidR="008C4D63" w:rsidRPr="00D836A2">
        <w:rPr>
          <w:lang w:eastAsia="fr-FR"/>
        </w:rPr>
        <w:t>In France, school meals must comply with 15 frequency criteria</w:t>
      </w:r>
      <w:r w:rsidR="008075ED" w:rsidRPr="00D836A2">
        <w:rPr>
          <w:lang w:eastAsia="fr-FR"/>
        </w:rPr>
        <w:t xml:space="preserve"> (</w:t>
      </w:r>
      <w:r w:rsidR="00FA2929" w:rsidRPr="00D836A2">
        <w:rPr>
          <w:lang w:eastAsia="fr-FR"/>
        </w:rPr>
        <w:t>FC</w:t>
      </w:r>
      <w:r w:rsidR="008075ED" w:rsidRPr="00D836A2">
        <w:rPr>
          <w:lang w:eastAsia="fr-FR"/>
        </w:rPr>
        <w:t>)</w:t>
      </w:r>
      <w:r w:rsidR="00821854" w:rsidRPr="00D836A2">
        <w:rPr>
          <w:lang w:eastAsia="fr-FR"/>
        </w:rPr>
        <w:t xml:space="preserve"> </w:t>
      </w:r>
      <w:r w:rsidR="008075ED" w:rsidRPr="00D836A2">
        <w:rPr>
          <w:lang w:eastAsia="fr-FR"/>
        </w:rPr>
        <w:t xml:space="preserve">expressed as </w:t>
      </w:r>
      <w:r w:rsidR="00810A9A" w:rsidRPr="00D836A2">
        <w:rPr>
          <w:lang w:eastAsia="fr-FR"/>
        </w:rPr>
        <w:t xml:space="preserve">nutritional </w:t>
      </w:r>
      <w:r w:rsidR="008075ED" w:rsidRPr="00D836A2">
        <w:rPr>
          <w:lang w:eastAsia="fr-FR"/>
        </w:rPr>
        <w:t xml:space="preserve">requirements </w:t>
      </w:r>
      <w:r w:rsidR="008C4D63" w:rsidRPr="00D836A2">
        <w:rPr>
          <w:lang w:eastAsia="fr-FR"/>
        </w:rPr>
        <w:t>(e.g. “starters containing more than 15% fat served no more than 4 times</w:t>
      </w:r>
      <w:r w:rsidR="008075ED" w:rsidRPr="00D836A2">
        <w:rPr>
          <w:lang w:eastAsia="fr-FR"/>
        </w:rPr>
        <w:t xml:space="preserve"> out of 20</w:t>
      </w:r>
      <w:r w:rsidR="008C4D63" w:rsidRPr="00D836A2">
        <w:rPr>
          <w:lang w:eastAsia="fr-FR"/>
        </w:rPr>
        <w:t>”)</w:t>
      </w:r>
      <w:r w:rsidR="003F5595" w:rsidRPr="00D836A2">
        <w:rPr>
          <w:lang w:eastAsia="fr-FR"/>
        </w:rPr>
        <w:t xml:space="preserve"> in</w:t>
      </w:r>
      <w:r w:rsidR="00721ED3" w:rsidRPr="00D836A2">
        <w:rPr>
          <w:lang w:eastAsia="fr-FR"/>
        </w:rPr>
        <w:t xml:space="preserve"> a</w:t>
      </w:r>
      <w:r w:rsidR="003F5595" w:rsidRPr="00D836A2">
        <w:rPr>
          <w:lang w:eastAsia="fr-FR"/>
        </w:rPr>
        <w:t xml:space="preserve"> series of 20 </w:t>
      </w:r>
      <w:r w:rsidR="006059B4" w:rsidRPr="00D836A2">
        <w:rPr>
          <w:lang w:eastAsia="fr-FR"/>
        </w:rPr>
        <w:t xml:space="preserve">consecutive </w:t>
      </w:r>
      <w:r w:rsidR="003F5595" w:rsidRPr="00D836A2">
        <w:rPr>
          <w:lang w:eastAsia="fr-FR"/>
        </w:rPr>
        <w:t>meals</w:t>
      </w:r>
      <w:r w:rsidR="008075ED" w:rsidRPr="00D836A2">
        <w:rPr>
          <w:lang w:eastAsia="fr-FR"/>
        </w:rPr>
        <w:t xml:space="preserve">. </w:t>
      </w:r>
      <w:r w:rsidR="00643B7B" w:rsidRPr="00D836A2">
        <w:rPr>
          <w:lang w:eastAsia="fr-FR"/>
        </w:rPr>
        <w:t>T</w:t>
      </w:r>
      <w:r w:rsidR="00821854" w:rsidRPr="00D836A2">
        <w:rPr>
          <w:lang w:eastAsia="fr-FR"/>
        </w:rPr>
        <w:t>h</w:t>
      </w:r>
      <w:r w:rsidR="00643B7B" w:rsidRPr="00D836A2">
        <w:rPr>
          <w:lang w:eastAsia="fr-FR"/>
        </w:rPr>
        <w:t xml:space="preserve">e </w:t>
      </w:r>
      <w:r w:rsidR="00F623BE" w:rsidRPr="00D836A2">
        <w:rPr>
          <w:lang w:eastAsia="fr-FR"/>
        </w:rPr>
        <w:t>objective</w:t>
      </w:r>
      <w:r w:rsidR="00643B7B" w:rsidRPr="00D836A2">
        <w:rPr>
          <w:lang w:eastAsia="fr-FR"/>
        </w:rPr>
        <w:t xml:space="preserve"> was to </w:t>
      </w:r>
      <w:r w:rsidR="00821854" w:rsidRPr="00D836A2">
        <w:rPr>
          <w:lang w:eastAsia="fr-FR"/>
        </w:rPr>
        <w:t>assess</w:t>
      </w:r>
      <w:r w:rsidR="00643B7B" w:rsidRPr="00D836A2">
        <w:rPr>
          <w:lang w:eastAsia="fr-FR"/>
        </w:rPr>
        <w:t>, for the first time,</w:t>
      </w:r>
      <w:r w:rsidR="00C42080" w:rsidRPr="00D836A2">
        <w:rPr>
          <w:lang w:eastAsia="fr-FR"/>
        </w:rPr>
        <w:t xml:space="preserve"> the nutritional </w:t>
      </w:r>
      <w:r w:rsidR="008C4D63" w:rsidRPr="00D836A2">
        <w:rPr>
          <w:lang w:eastAsia="fr-FR"/>
        </w:rPr>
        <w:t>impact</w:t>
      </w:r>
      <w:r w:rsidR="00721ED3" w:rsidRPr="00D836A2">
        <w:rPr>
          <w:lang w:eastAsia="fr-FR"/>
        </w:rPr>
        <w:t xml:space="preserve"> </w:t>
      </w:r>
      <w:r w:rsidR="008C4D63" w:rsidRPr="00D836A2">
        <w:rPr>
          <w:lang w:eastAsia="fr-FR"/>
        </w:rPr>
        <w:t xml:space="preserve">of complying with </w:t>
      </w:r>
      <w:r w:rsidR="00154D2A" w:rsidRPr="00D836A2">
        <w:rPr>
          <w:lang w:eastAsia="fr-FR"/>
        </w:rPr>
        <w:t xml:space="preserve">French school </w:t>
      </w:r>
      <w:r w:rsidR="00721ED3" w:rsidRPr="00D836A2">
        <w:rPr>
          <w:lang w:eastAsia="fr-FR"/>
        </w:rPr>
        <w:t>food</w:t>
      </w:r>
      <w:r w:rsidR="00154D2A" w:rsidRPr="00D836A2">
        <w:rPr>
          <w:lang w:eastAsia="fr-FR"/>
        </w:rPr>
        <w:t xml:space="preserve"> </w:t>
      </w:r>
      <w:r w:rsidR="00FA2929" w:rsidRPr="00D836A2">
        <w:rPr>
          <w:lang w:eastAsia="fr-FR"/>
        </w:rPr>
        <w:t>FC</w:t>
      </w:r>
      <w:r w:rsidR="00C42080" w:rsidRPr="00D836A2">
        <w:rPr>
          <w:lang w:eastAsia="fr-FR"/>
        </w:rPr>
        <w:t xml:space="preserve">. </w:t>
      </w:r>
      <w:r w:rsidR="008C4D63" w:rsidRPr="00D836A2">
        <w:rPr>
          <w:lang w:eastAsia="fr-FR"/>
        </w:rPr>
        <w:t>Based on 40 s</w:t>
      </w:r>
      <w:r w:rsidR="008C4D63" w:rsidRPr="00D836A2">
        <w:rPr>
          <w:rFonts w:cs="Calibri"/>
          <w:lang w:eastAsia="fr-FR"/>
        </w:rPr>
        <w:t xml:space="preserve">eries </w:t>
      </w:r>
      <w:r w:rsidR="002D602B" w:rsidRPr="00D836A2">
        <w:rPr>
          <w:rFonts w:cs="Calibri"/>
          <w:lang w:eastAsia="fr-FR"/>
        </w:rPr>
        <w:t>of meals</w:t>
      </w:r>
      <w:r w:rsidR="00590CE4" w:rsidRPr="00D836A2">
        <w:rPr>
          <w:rFonts w:cs="Calibri"/>
          <w:lang w:eastAsia="fr-FR"/>
        </w:rPr>
        <w:t xml:space="preserve"> </w:t>
      </w:r>
      <w:r w:rsidR="008C4D63" w:rsidRPr="00D836A2">
        <w:rPr>
          <w:rFonts w:cs="Calibri"/>
          <w:lang w:eastAsia="fr-FR"/>
        </w:rPr>
        <w:t>actually served in primary schools</w:t>
      </w:r>
      <w:r w:rsidR="00643B7B" w:rsidRPr="00D836A2">
        <w:rPr>
          <w:rFonts w:cs="Calibri"/>
          <w:lang w:eastAsia="fr-FR"/>
        </w:rPr>
        <w:t xml:space="preserve"> (</w:t>
      </w:r>
      <w:r w:rsidR="002D602B" w:rsidRPr="00D836A2">
        <w:rPr>
          <w:rFonts w:cs="Calibri"/>
          <w:lang w:eastAsia="fr-FR"/>
        </w:rPr>
        <w:t>“</w:t>
      </w:r>
      <w:r w:rsidR="00643B7B" w:rsidRPr="00D836A2">
        <w:rPr>
          <w:rFonts w:cs="Calibri"/>
          <w:lang w:eastAsia="fr-FR"/>
        </w:rPr>
        <w:t>observed series</w:t>
      </w:r>
      <w:r w:rsidR="002D602B" w:rsidRPr="00D836A2">
        <w:rPr>
          <w:rFonts w:cs="Calibri"/>
          <w:lang w:eastAsia="fr-FR"/>
        </w:rPr>
        <w:t>”</w:t>
      </w:r>
      <w:r w:rsidR="00643B7B" w:rsidRPr="00D836A2">
        <w:rPr>
          <w:rFonts w:cs="Calibri"/>
          <w:lang w:eastAsia="fr-FR"/>
        </w:rPr>
        <w:t>)</w:t>
      </w:r>
      <w:r w:rsidR="008C4D63" w:rsidRPr="00D836A2">
        <w:rPr>
          <w:rFonts w:cs="Calibri"/>
          <w:lang w:eastAsia="fr-FR"/>
        </w:rPr>
        <w:t xml:space="preserve">, several </w:t>
      </w:r>
      <w:r w:rsidR="008C4D63" w:rsidRPr="00D836A2">
        <w:rPr>
          <w:lang w:eastAsia="fr-FR"/>
        </w:rPr>
        <w:t xml:space="preserve">scenarios </w:t>
      </w:r>
      <w:r w:rsidR="00594DA8" w:rsidRPr="00D836A2">
        <w:rPr>
          <w:lang w:eastAsia="fr-FR"/>
        </w:rPr>
        <w:t>(</w:t>
      </w:r>
      <w:r w:rsidR="00594DA8" w:rsidRPr="00D836A2">
        <w:t>1,600 series</w:t>
      </w:r>
      <w:r w:rsidR="003F5595" w:rsidRPr="00D836A2">
        <w:t xml:space="preserve"> </w:t>
      </w:r>
      <w:r w:rsidR="008075ED" w:rsidRPr="00D836A2">
        <w:t xml:space="preserve">per </w:t>
      </w:r>
      <w:r w:rsidR="00C42080" w:rsidRPr="00D836A2">
        <w:t>scenario</w:t>
      </w:r>
      <w:r w:rsidR="00594DA8" w:rsidRPr="00D836A2">
        <w:t xml:space="preserve">) </w:t>
      </w:r>
      <w:r w:rsidR="008C4D63" w:rsidRPr="00D836A2">
        <w:rPr>
          <w:lang w:eastAsia="fr-FR"/>
        </w:rPr>
        <w:t xml:space="preserve">of compliance or non-compliance with </w:t>
      </w:r>
      <w:r w:rsidR="00FA2929" w:rsidRPr="00D836A2">
        <w:rPr>
          <w:lang w:eastAsia="fr-FR"/>
        </w:rPr>
        <w:t>FC</w:t>
      </w:r>
      <w:r w:rsidR="00C42080" w:rsidRPr="00D836A2">
        <w:rPr>
          <w:lang w:eastAsia="fr-FR"/>
        </w:rPr>
        <w:t xml:space="preserve"> were simulated, and </w:t>
      </w:r>
      <w:r w:rsidR="00FA2929" w:rsidRPr="00D836A2">
        <w:rPr>
          <w:rFonts w:cs="Calibri"/>
          <w:lang w:eastAsia="fr-FR"/>
        </w:rPr>
        <w:t xml:space="preserve">nutritional quality </w:t>
      </w:r>
      <w:r w:rsidR="00821854" w:rsidRPr="00D836A2">
        <w:rPr>
          <w:rFonts w:cs="Calibri"/>
          <w:lang w:eastAsia="fr-FR"/>
        </w:rPr>
        <w:t>was assessed</w:t>
      </w:r>
      <w:r w:rsidR="00FA2929" w:rsidRPr="00D836A2">
        <w:rPr>
          <w:rFonts w:cs="Calibri"/>
          <w:lang w:eastAsia="fr-FR"/>
        </w:rPr>
        <w:t xml:space="preserve"> </w:t>
      </w:r>
      <w:r w:rsidR="00721ED3" w:rsidRPr="00D836A2">
        <w:rPr>
          <w:rFonts w:cs="Calibri"/>
          <w:lang w:eastAsia="fr-FR"/>
        </w:rPr>
        <w:t xml:space="preserve">via </w:t>
      </w:r>
      <w:r w:rsidR="00C42080" w:rsidRPr="00D836A2">
        <w:rPr>
          <w:rFonts w:cs="Calibri"/>
          <w:lang w:eastAsia="fr-FR"/>
        </w:rPr>
        <w:t>the mean adequacy ratio (MAR</w:t>
      </w:r>
      <w:r w:rsidR="00643B7B" w:rsidRPr="00D836A2">
        <w:rPr>
          <w:rFonts w:cs="Calibri"/>
          <w:lang w:eastAsia="fr-FR"/>
        </w:rPr>
        <w:t>/</w:t>
      </w:r>
      <w:r w:rsidR="00C42080" w:rsidRPr="00D836A2">
        <w:rPr>
          <w:rFonts w:cs="Calibri"/>
          <w:lang w:eastAsia="fr-FR"/>
        </w:rPr>
        <w:t>2000 kcal</w:t>
      </w:r>
      <w:r w:rsidR="00643B7B" w:rsidRPr="00D836A2">
        <w:rPr>
          <w:rFonts w:cs="Calibri"/>
          <w:lang w:eastAsia="fr-FR"/>
        </w:rPr>
        <w:t>)</w:t>
      </w:r>
      <w:r w:rsidR="008C4D63" w:rsidRPr="00D836A2">
        <w:rPr>
          <w:lang w:eastAsia="fr-FR"/>
        </w:rPr>
        <w:t xml:space="preserve">. In the observed series, </w:t>
      </w:r>
      <w:r w:rsidR="00FA2929" w:rsidRPr="00D836A2">
        <w:rPr>
          <w:lang w:eastAsia="fr-FR"/>
        </w:rPr>
        <w:t xml:space="preserve">only </w:t>
      </w:r>
      <w:r w:rsidR="008C4D63" w:rsidRPr="00D836A2">
        <w:rPr>
          <w:lang w:eastAsia="fr-FR"/>
        </w:rPr>
        <w:t xml:space="preserve">9.7 </w:t>
      </w:r>
      <w:r w:rsidR="00FA2929" w:rsidRPr="00D836A2">
        <w:rPr>
          <w:lang w:eastAsia="fr-FR"/>
        </w:rPr>
        <w:t>FC</w:t>
      </w:r>
      <w:r w:rsidR="008C4D63" w:rsidRPr="00D836A2">
        <w:rPr>
          <w:lang w:eastAsia="fr-FR"/>
        </w:rPr>
        <w:t xml:space="preserve"> </w:t>
      </w:r>
      <w:r w:rsidR="00971E75">
        <w:rPr>
          <w:lang w:eastAsia="fr-FR"/>
        </w:rPr>
        <w:t xml:space="preserve">on average </w:t>
      </w:r>
      <w:r w:rsidR="00C42080" w:rsidRPr="00D836A2">
        <w:rPr>
          <w:lang w:eastAsia="fr-FR"/>
        </w:rPr>
        <w:t>(range 4-14)</w:t>
      </w:r>
      <w:r w:rsidR="00821854" w:rsidRPr="00D836A2">
        <w:rPr>
          <w:lang w:eastAsia="fr-FR"/>
        </w:rPr>
        <w:t xml:space="preserve"> </w:t>
      </w:r>
      <w:r w:rsidR="008C4D63" w:rsidRPr="00D836A2">
        <w:rPr>
          <w:lang w:eastAsia="fr-FR"/>
        </w:rPr>
        <w:t xml:space="preserve">were </w:t>
      </w:r>
      <w:r w:rsidR="00BC4AB3">
        <w:rPr>
          <w:lang w:eastAsia="fr-FR"/>
        </w:rPr>
        <w:t>fulfilled</w:t>
      </w:r>
      <w:r w:rsidR="008C4D63" w:rsidRPr="00D836A2">
        <w:rPr>
          <w:lang w:eastAsia="fr-FR"/>
        </w:rPr>
        <w:t xml:space="preserve">. In the simulated series: i) MAR was positively associated with </w:t>
      </w:r>
      <w:r w:rsidR="006059B4" w:rsidRPr="00D836A2">
        <w:rPr>
          <w:lang w:eastAsia="fr-FR"/>
        </w:rPr>
        <w:t xml:space="preserve">FC </w:t>
      </w:r>
      <w:r w:rsidR="008C4D63" w:rsidRPr="00D836A2">
        <w:rPr>
          <w:lang w:eastAsia="fr-FR"/>
        </w:rPr>
        <w:t xml:space="preserve">compliance </w:t>
      </w:r>
      <w:r w:rsidR="006059B4" w:rsidRPr="00D836A2">
        <w:rPr>
          <w:lang w:eastAsia="fr-FR"/>
        </w:rPr>
        <w:t>level</w:t>
      </w:r>
      <w:r w:rsidR="008C4D63" w:rsidRPr="00D836A2">
        <w:rPr>
          <w:lang w:eastAsia="fr-FR"/>
        </w:rPr>
        <w:t>,</w:t>
      </w:r>
      <w:r w:rsidR="00FA09F5" w:rsidRPr="00D836A2">
        <w:rPr>
          <w:lang w:eastAsia="fr-FR"/>
        </w:rPr>
        <w:t xml:space="preserve"> with the highest MAR obtained with complete compliance;</w:t>
      </w:r>
      <w:r w:rsidR="008C4D63" w:rsidRPr="00D836A2">
        <w:rPr>
          <w:lang w:eastAsia="fr-FR"/>
        </w:rPr>
        <w:t xml:space="preserve"> ii) MAR decreased when meat or fish-based dishes were replaced by dishes without meat or fish</w:t>
      </w:r>
      <w:r w:rsidR="00FA09F5" w:rsidRPr="00D836A2">
        <w:rPr>
          <w:lang w:eastAsia="fr-FR"/>
        </w:rPr>
        <w:t xml:space="preserve">; </w:t>
      </w:r>
      <w:r w:rsidR="00721ED3" w:rsidRPr="00D836A2">
        <w:rPr>
          <w:lang w:eastAsia="fr-FR"/>
        </w:rPr>
        <w:t xml:space="preserve">and </w:t>
      </w:r>
      <w:r w:rsidR="008C4D63" w:rsidRPr="00D836A2">
        <w:rPr>
          <w:lang w:eastAsia="fr-FR"/>
        </w:rPr>
        <w:t>i</w:t>
      </w:r>
      <w:r w:rsidR="00721ED3" w:rsidRPr="00D836A2">
        <w:rPr>
          <w:lang w:eastAsia="fr-FR"/>
        </w:rPr>
        <w:t>ii</w:t>
      </w:r>
      <w:r w:rsidR="008C4D63" w:rsidRPr="00D836A2">
        <w:rPr>
          <w:lang w:eastAsia="fr-FR"/>
        </w:rPr>
        <w:t xml:space="preserve">) removing the protein dish </w:t>
      </w:r>
      <w:r w:rsidR="0050751A" w:rsidRPr="00D836A2">
        <w:rPr>
          <w:lang w:eastAsia="fr-FR"/>
        </w:rPr>
        <w:t>without replacement</w:t>
      </w:r>
      <w:r w:rsidR="008C4D63" w:rsidRPr="00D836A2">
        <w:rPr>
          <w:lang w:eastAsia="fr-FR"/>
        </w:rPr>
        <w:t xml:space="preserve"> led to the lowest MAR.</w:t>
      </w:r>
      <w:r w:rsidR="00BC4AB3">
        <w:rPr>
          <w:color w:val="FF0000"/>
          <w:lang w:eastAsia="fr-FR"/>
        </w:rPr>
        <w:t xml:space="preserve"> </w:t>
      </w:r>
      <w:r w:rsidR="008C4D63" w:rsidRPr="00D836A2">
        <w:rPr>
          <w:lang w:eastAsia="fr-FR"/>
        </w:rPr>
        <w:t xml:space="preserve">This study demonstrates </w:t>
      </w:r>
      <w:r w:rsidR="00330589">
        <w:rPr>
          <w:lang w:eastAsia="fr-FR"/>
        </w:rPr>
        <w:t>that</w:t>
      </w:r>
      <w:r w:rsidR="00373281" w:rsidRPr="00DA6288">
        <w:rPr>
          <w:color w:val="FF0000"/>
          <w:lang w:eastAsia="fr-FR"/>
        </w:rPr>
        <w:t xml:space="preserve"> </w:t>
      </w:r>
      <w:r w:rsidR="00373281" w:rsidRPr="004C2008">
        <w:rPr>
          <w:color w:val="000000" w:themeColor="text1"/>
          <w:lang w:eastAsia="fr-FR"/>
        </w:rPr>
        <w:t>French school food guidelines ensur</w:t>
      </w:r>
      <w:r w:rsidR="00330589" w:rsidRPr="004C2008">
        <w:rPr>
          <w:color w:val="000000" w:themeColor="text1"/>
          <w:lang w:eastAsia="fr-FR"/>
        </w:rPr>
        <w:t>e</w:t>
      </w:r>
      <w:r w:rsidR="00373281" w:rsidRPr="004C2008">
        <w:rPr>
          <w:color w:val="000000" w:themeColor="text1"/>
          <w:lang w:eastAsia="fr-FR"/>
        </w:rPr>
        <w:t xml:space="preserve"> good nutritional quality of food services. It also </w:t>
      </w:r>
      <w:r w:rsidR="00330589" w:rsidRPr="004C2008">
        <w:rPr>
          <w:color w:val="000000" w:themeColor="text1"/>
          <w:lang w:eastAsia="fr-FR"/>
        </w:rPr>
        <w:t>shows</w:t>
      </w:r>
      <w:r w:rsidR="00373281" w:rsidRPr="004C2008">
        <w:rPr>
          <w:color w:val="000000" w:themeColor="text1"/>
          <w:lang w:eastAsia="fr-FR"/>
        </w:rPr>
        <w:t xml:space="preserve"> that generalizing the service of meals without meat or fish would deteriorate overall nutritional quality, highlighting the </w:t>
      </w:r>
      <w:r w:rsidR="00FF17D2" w:rsidRPr="00FF17D2">
        <w:t>need to define the composition of vegetarian dishes and their frequency of service to children.</w:t>
      </w:r>
    </w:p>
    <w:p w:rsidR="00EA6423" w:rsidRPr="00D836A2" w:rsidRDefault="005D10D8" w:rsidP="005D10D8">
      <w:pPr>
        <w:pStyle w:val="MDPI18keywords"/>
      </w:pPr>
      <w:r w:rsidRPr="00D836A2">
        <w:rPr>
          <w:b/>
        </w:rPr>
        <w:t>Keywords:</w:t>
      </w:r>
      <w:r w:rsidR="00EA6423" w:rsidRPr="00D836A2">
        <w:rPr>
          <w:b/>
        </w:rPr>
        <w:t xml:space="preserve"> </w:t>
      </w:r>
      <w:r w:rsidR="000C329F" w:rsidRPr="00D836A2">
        <w:t>schools</w:t>
      </w:r>
      <w:r w:rsidRPr="00D836A2">
        <w:t xml:space="preserve">; </w:t>
      </w:r>
      <w:r w:rsidR="005B16D7" w:rsidRPr="00D836A2">
        <w:t>diet</w:t>
      </w:r>
      <w:r w:rsidRPr="00D836A2">
        <w:t xml:space="preserve">; </w:t>
      </w:r>
      <w:r w:rsidR="000C329F" w:rsidRPr="00D836A2">
        <w:t>children</w:t>
      </w:r>
      <w:r w:rsidRPr="00D836A2">
        <w:t xml:space="preserve">; </w:t>
      </w:r>
      <w:r w:rsidR="000C329F" w:rsidRPr="00D836A2">
        <w:t>France</w:t>
      </w:r>
      <w:r w:rsidRPr="00D836A2">
        <w:t xml:space="preserve">; </w:t>
      </w:r>
      <w:r w:rsidR="000C329F" w:rsidRPr="00D836A2">
        <w:t>policy</w:t>
      </w:r>
      <w:r w:rsidR="005B16D7" w:rsidRPr="00D836A2">
        <w:t>; meat; protein; nutrition, sustainability</w:t>
      </w:r>
    </w:p>
    <w:p w:rsidR="00EA6423" w:rsidRPr="00D836A2" w:rsidRDefault="00EA6423" w:rsidP="005D10D8">
      <w:pPr>
        <w:pStyle w:val="MDPI19line"/>
        <w:pBdr>
          <w:bottom w:val="single" w:sz="4" w:space="1" w:color="auto"/>
        </w:pBdr>
        <w:spacing w:after="480"/>
      </w:pPr>
    </w:p>
    <w:p w:rsidR="00EA6423" w:rsidRPr="00D836A2" w:rsidRDefault="00EA6423" w:rsidP="005D10D8">
      <w:pPr>
        <w:pStyle w:val="MDPI21heading1"/>
      </w:pPr>
      <w:r w:rsidRPr="00D836A2">
        <w:rPr>
          <w:lang w:eastAsia="zh-CN"/>
        </w:rPr>
        <w:t xml:space="preserve">1. </w:t>
      </w:r>
      <w:r w:rsidRPr="00D836A2">
        <w:t>Introduction</w:t>
      </w:r>
    </w:p>
    <w:p w:rsidR="000C329F" w:rsidRPr="00D836A2" w:rsidRDefault="000C329F" w:rsidP="005D10D8">
      <w:pPr>
        <w:pStyle w:val="MDPI31text"/>
      </w:pPr>
      <w:bookmarkStart w:id="1" w:name="OLE_LINK1"/>
      <w:bookmarkStart w:id="2" w:name="OLE_LINK2"/>
      <w:r w:rsidRPr="00D836A2">
        <w:t xml:space="preserve">The European Union Action Plan on childhood obesity </w:t>
      </w:r>
      <w:r w:rsidR="00FF17D2">
        <w:fldChar w:fldCharType="begin"/>
      </w:r>
      <w:r w:rsidR="006C5B2D">
        <w:instrText xml:space="preserve"> ADDIN REFMGR.CITE &lt;Refman&gt;&lt;Cite&gt;&lt;Year&gt;2014&lt;/Year&gt;&lt;RecNum&gt;5103&lt;/RecNum&gt;&lt;IDText&gt;EU Action Plan on Childhood Obesity 2014-2020.&lt;/IDText&gt;&lt;MDL Ref_Type="Journal"&gt;&lt;Ref_Type&gt;Journal&lt;/Ref_Type&gt;&lt;Ref_ID&gt;5103&lt;/Ref_ID&gt;&lt;Title_Primary&gt;&lt;f name="Museo300-Regular"&gt;EU Action Plan on Childhood Obesity 2014-2020.&lt;/f&gt;&lt;/Title_Primary&gt;&lt;Date_Primary&gt;2014&lt;/Date_Primary&gt;&lt;Keywords&gt;Obesity&lt;/Keywords&gt;&lt;Reprint&gt;Not in File&lt;/Reprint&gt;&lt;Periodical&gt;Action Plan&lt;/Periodical&gt;&lt;ZZ_JournalFull&gt;&lt;f name="System"&gt;Action Plan&lt;/f&gt;&lt;/ZZ_JournalFull&gt;&lt;ZZ_WorkformID&gt;1&lt;/ZZ_WorkformID&gt;&lt;/MDL&gt;&lt;/Cite&gt;&lt;/Refman&gt;</w:instrText>
      </w:r>
      <w:r w:rsidR="00FF17D2">
        <w:fldChar w:fldCharType="separate"/>
      </w:r>
      <w:r w:rsidR="006C5B2D">
        <w:t>[1]</w:t>
      </w:r>
      <w:r w:rsidR="00FF17D2">
        <w:fldChar w:fldCharType="end"/>
      </w:r>
      <w:r w:rsidRPr="00D836A2">
        <w:t xml:space="preserve"> and many other official documents—listed in a recent report by the European Commission </w:t>
      </w:r>
      <w:r w:rsidR="00FF17D2">
        <w:fldChar w:fldCharType="begin"/>
      </w:r>
      <w:r w:rsidR="006C5B2D">
        <w:instrText xml:space="preserve"> ADDIN REFMGR.CITE &lt;Refman&gt;&lt;Cite&gt;&lt;Author&gt;Caldeira&lt;/Author&gt;&lt;Year&gt;2017&lt;/Year&gt;&lt;RecNum&gt;5089&lt;/RecNum&gt;&lt;IDText&gt;Public procurement of food for health. Technical report on the school setting&lt;/IDText&gt;&lt;MDL Ref_Type="Journal"&gt;&lt;Ref_Type&gt;Journal&lt;/Ref_Type&gt;&lt;Ref_ID&gt;5089&lt;/Ref_ID&gt;&lt;Title_Primary&gt;Public procurement of food for health. Technical report on the school setting&lt;/Title_Primary&gt;&lt;Authors_Primary&gt;Caldeira,S.&lt;/Authors_Primary&gt;&lt;Authors_Primary&gt;Storcksdieck genannt Bonsmann,S.&lt;/Authors_Primary&gt;&lt;Authors_Primary&gt;Bakogianni,I.&lt;/Authors_Primary&gt;&lt;Authors_Primary&gt;Gauci,C.&lt;/Authors_Primary&gt;&lt;Authors_Primary&gt;Calleja,A.&lt;/Authors_Primary&gt;&lt;Authors_Primary&gt;Furtado,A.&lt;/Authors_Primary&gt;&lt;Date_Primary&gt;2017&lt;/Date_Primary&gt;&lt;Keywords&gt;Food&lt;/Keywords&gt;&lt;Keywords&gt;health&lt;/Keywords&gt;&lt;Keywords&gt;Is&lt;/Keywords&gt;&lt;Keywords&gt;To&lt;/Keywords&gt;&lt;Keywords&gt;standards&lt;/Keywords&gt;&lt;Keywords&gt;Nutrition&lt;/Keywords&gt;&lt;Keywords&gt;Europe&lt;/Keywords&gt;&lt;Reprint&gt;In File&lt;/Reprint&gt;&lt;Periodical&gt;Joint Publication of the Maltese presidency and the European Commission&lt;/Periodical&gt;&lt;Volume&gt;22 February 2017&lt;/Volume&gt;&lt;User_Def_1&gt;ISBN 978-99957-1-088-0&lt;/User_Def_1&gt;&lt;Web_URL&gt;&lt;u&gt;https://ec.europa.eu/jrc/sites/jrcsh/files/public-procurement-food-health-technical-report.pdf&lt;/u&gt;&lt;/Web_URL&gt;&lt;Web_URL_Link1&gt;&lt;u&gt;file://C:\Users\Darmon\Documents\MS nutrition\C I V cantines\biblio resto collective\public-procurement-food-health-technical-report.pdf&lt;/u&gt;&lt;/Web_URL_Link1&gt;&lt;ZZ_JournalFull&gt;&lt;f name="System"&gt;Joint Publication of the Maltese presidency and the European Commission&lt;/f&gt;&lt;/ZZ_JournalFull&gt;&lt;ZZ_WorkformID&gt;1&lt;/ZZ_WorkformID&gt;&lt;/MDL&gt;&lt;/Cite&gt;&lt;/Refman&gt;</w:instrText>
      </w:r>
      <w:r w:rsidR="00FF17D2">
        <w:fldChar w:fldCharType="separate"/>
      </w:r>
      <w:r w:rsidR="006C5B2D">
        <w:t>[2]</w:t>
      </w:r>
      <w:r w:rsidR="00FF17D2">
        <w:fldChar w:fldCharType="end"/>
      </w:r>
      <w:r w:rsidRPr="00D836A2">
        <w:t xml:space="preserve">—underscore the fact that schools provide a privileged framework to promote healthy behaviors, notably in regard to physical activity and food. This report </w:t>
      </w:r>
      <w:r w:rsidR="00FF17D2">
        <w:fldChar w:fldCharType="begin"/>
      </w:r>
      <w:r w:rsidR="006C5B2D">
        <w:instrText xml:space="preserve"> ADDIN REFMGR.CITE &lt;Refman&gt;&lt;Cite&gt;&lt;Author&gt;Caldeira&lt;/Author&gt;&lt;Year&gt;2017&lt;/Year&gt;&lt;RecNum&gt;5089&lt;/RecNum&gt;&lt;IDText&gt;Public procurement of food for health. Technical report on the school setting&lt;/IDText&gt;&lt;MDL Ref_Type="Journal"&gt;&lt;Ref_Type&gt;Journal&lt;/Ref_Type&gt;&lt;Ref_ID&gt;5089&lt;/Ref_ID&gt;&lt;Title_Primary&gt;Public procurement of food for health. Technical report on the school setting&lt;/Title_Primary&gt;&lt;Authors_Primary&gt;Caldeira,S.&lt;/Authors_Primary&gt;&lt;Authors_Primary&gt;Storcksdieck genannt Bonsmann,S.&lt;/Authors_Primary&gt;&lt;Authors_Primary&gt;Bakogianni,I.&lt;/Authors_Primary&gt;&lt;Authors_Primary&gt;Gauci,C.&lt;/Authors_Primary&gt;&lt;Authors_Primary&gt;Calleja,A.&lt;/Authors_Primary&gt;&lt;Authors_Primary&gt;Furtado,A.&lt;/Authors_Primary&gt;&lt;Date_Primary&gt;2017&lt;/Date_Primary&gt;&lt;Keywords&gt;Food&lt;/Keywords&gt;&lt;Keywords&gt;health&lt;/Keywords&gt;&lt;Keywords&gt;Is&lt;/Keywords&gt;&lt;Keywords&gt;To&lt;/Keywords&gt;&lt;Keywords&gt;standards&lt;/Keywords&gt;&lt;Keywords&gt;Nutrition&lt;/Keywords&gt;&lt;Keywords&gt;Europe&lt;/Keywords&gt;&lt;Reprint&gt;In File&lt;/Reprint&gt;&lt;Periodical&gt;Joint Publication of the Maltese presidency and the European Commission&lt;/Periodical&gt;&lt;Volume&gt;22 February 2017&lt;/Volume&gt;&lt;User_Def_1&gt;ISBN 978-99957-1-088-0&lt;/User_Def_1&gt;&lt;Web_URL&gt;&lt;u&gt;https://ec.europa.eu/jrc/sites/jrcsh/files/public-procurement-food-health-technical-report.pdf&lt;/u&gt;&lt;/Web_URL&gt;&lt;Web_URL_Link1&gt;&lt;u&gt;file://C:\Users\Darmon\Documents\MS nutrition\C I V cantines\biblio resto collective\public-procurement-food-health-technical-report.pdf&lt;/u&gt;&lt;/Web_URL_Link1&gt;&lt;ZZ_JournalFull&gt;&lt;f name="System"&gt;Joint Publication of the Maltese presidency and the European Commission&lt;/f&gt;&lt;/ZZ_JournalFull&gt;&lt;ZZ_WorkformID&gt;1&lt;/ZZ_WorkformID&gt;&lt;/MDL&gt;&lt;/Cite&gt;&lt;/Refman&gt;</w:instrText>
      </w:r>
      <w:r w:rsidR="00FF17D2">
        <w:fldChar w:fldCharType="separate"/>
      </w:r>
      <w:r w:rsidR="006C5B2D">
        <w:t>[2]</w:t>
      </w:r>
      <w:r w:rsidR="00FF17D2">
        <w:fldChar w:fldCharType="end"/>
      </w:r>
      <w:r w:rsidRPr="00D836A2">
        <w:t xml:space="preserve"> states that the provision of healthy balanced meals in schools can improve dietary habits, lessen the incidence of childhood overweight and obesity, increase school attendance and performance, help reduce health inequalities, and raise children’s and school’s health awareness. All the member States have made considerable progress in this field with the establishment of either voluntary or mandatory school food policies </w:t>
      </w:r>
      <w:r w:rsidR="00FF17D2">
        <w:fldChar w:fldCharType="begin"/>
      </w:r>
      <w:r w:rsidR="006C5B2D">
        <w:instrText xml:space="preserve"> ADDIN REFMGR.CITE &lt;Refman&gt;&lt;Cite&gt;&lt;Year&gt;2014&lt;/Year&gt;&lt;RecNum&gt;5104&lt;/RecNum&gt;&lt;IDText&gt;Mapping of national school food policies across the EU28 plus Norway and Switzerland&lt;/IDText&gt;&lt;MDL Ref_Type="Journal"&gt;&lt;Ref_Type&gt;Journal&lt;/Ref_Type&gt;&lt;Ref_ID&gt;5104&lt;/Ref_ID&gt;&lt;Title_Primary&gt;&lt;f name="Museo300-Regular"&gt;Mapping of national school food policies across the EU28 plus Norway and Switzerland&lt;/f&gt;&lt;/Title_Primary&gt;&lt;Date_Primary&gt;2014&lt;/Date_Primary&gt;&lt;Keywords&gt;Science&lt;/Keywords&gt;&lt;Keywords&gt;Policy&lt;/Keywords&gt;&lt;Keywords&gt;Food&lt;/Keywords&gt;&lt;Keywords&gt;Norway&lt;/Keywords&gt;&lt;Keywords&gt;Switzerland&lt;/Keywords&gt;&lt;Reprint&gt;Not in File&lt;/Reprint&gt;&lt;Periodical&gt;JRC Science and Policy Report.&lt;/Periodical&gt;&lt;ZZ_JournalStdAbbrev&gt;&lt;f name="System"&gt;JRC Science and Policy Report.&lt;/f&gt;&lt;/ZZ_JournalStdAbbrev&gt;&lt;ZZ_WorkformID&gt;1&lt;/ZZ_WorkformID&gt;&lt;/MDL&gt;&lt;/Cite&gt;&lt;/Refman&gt;</w:instrText>
      </w:r>
      <w:r w:rsidR="00FF17D2">
        <w:fldChar w:fldCharType="separate"/>
      </w:r>
      <w:r w:rsidR="006C5B2D">
        <w:t>[3]</w:t>
      </w:r>
      <w:r w:rsidR="00FF17D2">
        <w:fldChar w:fldCharType="end"/>
      </w:r>
      <w:r w:rsidRPr="00D836A2">
        <w:t xml:space="preserve">. However, the </w:t>
      </w:r>
      <w:r w:rsidR="00FA09F5" w:rsidRPr="00D836A2">
        <w:t xml:space="preserve">practical </w:t>
      </w:r>
      <w:r w:rsidR="00B64456" w:rsidRPr="00D836A2">
        <w:t xml:space="preserve">implementation </w:t>
      </w:r>
      <w:r w:rsidRPr="00D836A2">
        <w:t xml:space="preserve">of these policies in terms of </w:t>
      </w:r>
      <w:r w:rsidR="00FA09F5" w:rsidRPr="00D836A2">
        <w:t>food offer</w:t>
      </w:r>
      <w:r w:rsidR="00721ED3" w:rsidRPr="00D836A2">
        <w:t>ed</w:t>
      </w:r>
      <w:r w:rsidR="00FA09F5" w:rsidRPr="00D836A2">
        <w:t xml:space="preserve"> in school settings</w:t>
      </w:r>
      <w:r w:rsidR="00721ED3" w:rsidRPr="00D836A2">
        <w:t xml:space="preserve"> </w:t>
      </w:r>
      <w:r w:rsidRPr="00D836A2">
        <w:t>remain</w:t>
      </w:r>
      <w:r w:rsidR="00B64456" w:rsidRPr="00D836A2">
        <w:t>s</w:t>
      </w:r>
      <w:r w:rsidRPr="00D836A2">
        <w:t xml:space="preserve"> complex </w:t>
      </w:r>
      <w:r w:rsidR="00FF17D2">
        <w:fldChar w:fldCharType="begin"/>
      </w:r>
      <w:r w:rsidR="006C5B2D">
        <w:instrText xml:space="preserve"> ADDIN REFMGR.CITE &lt;Refman&gt;&lt;Cite&gt;&lt;Author&gt;Caldeira&lt;/Author&gt;&lt;Year&gt;2017&lt;/Year&gt;&lt;RecNum&gt;5089&lt;/RecNum&gt;&lt;IDText&gt;Public procurement of food for health. Technical report on the school setting&lt;/IDText&gt;&lt;MDL Ref_Type="Journal"&gt;&lt;Ref_Type&gt;Journal&lt;/Ref_Type&gt;&lt;Ref_ID&gt;5089&lt;/Ref_ID&gt;&lt;Title_Primary&gt;Public procurement of food for health. Technical report on the school setting&lt;/Title_Primary&gt;&lt;Authors_Primary&gt;Caldeira,S.&lt;/Authors_Primary&gt;&lt;Authors_Primary&gt;Storcksdieck genannt Bonsmann,S.&lt;/Authors_Primary&gt;&lt;Authors_Primary&gt;Bakogianni,I.&lt;/Authors_Primary&gt;&lt;Authors_Primary&gt;Gauci,C.&lt;/Authors_Primary&gt;&lt;Authors_Primary&gt;Calleja,A.&lt;/Authors_Primary&gt;&lt;Authors_Primary&gt;Furtado,A.&lt;/Authors_Primary&gt;&lt;Date_Primary&gt;2017&lt;/Date_Primary&gt;&lt;Keywords&gt;Food&lt;/Keywords&gt;&lt;Keywords&gt;health&lt;/Keywords&gt;&lt;Keywords&gt;Is&lt;/Keywords&gt;&lt;Keywords&gt;To&lt;/Keywords&gt;&lt;Keywords&gt;standards&lt;/Keywords&gt;&lt;Keywords&gt;Nutrition&lt;/Keywords&gt;&lt;Keywords&gt;Europe&lt;/Keywords&gt;&lt;Reprint&gt;In File&lt;/Reprint&gt;&lt;Periodical&gt;Joint Publication of the Maltese presidency and the European Commission&lt;/Periodical&gt;&lt;Volume&gt;22 February 2017&lt;/Volume&gt;&lt;User_Def_1&gt;ISBN 978-99957-1-088-0&lt;/User_Def_1&gt;&lt;Web_URL&gt;&lt;u&gt;https://ec.europa.eu/jrc/sites/jrcsh/files/public-procurement-food-health-technical-report.pdf&lt;/u&gt;&lt;/Web_URL&gt;&lt;Web_URL_Link1&gt;&lt;u&gt;file://C:\Users\Darmon\Documents\MS nutrition\C I V cantines\biblio resto collective\public-procurement-food-health-technical-report.pdf&lt;/u&gt;&lt;/Web_URL_Link1&gt;&lt;ZZ_JournalFull&gt;&lt;f name="System"&gt;Joint Publication of the Maltese presidency and the European Commission&lt;/f&gt;&lt;/ZZ_JournalFull&gt;&lt;ZZ_WorkformID&gt;1&lt;/ZZ_WorkformID&gt;&lt;/MDL&gt;&lt;/Cite&gt;&lt;/Refman&gt;</w:instrText>
      </w:r>
      <w:r w:rsidR="00FF17D2">
        <w:fldChar w:fldCharType="separate"/>
      </w:r>
      <w:r w:rsidR="006C5B2D">
        <w:t>[2]</w:t>
      </w:r>
      <w:r w:rsidR="00FF17D2">
        <w:fldChar w:fldCharType="end"/>
      </w:r>
      <w:r w:rsidRPr="00D836A2">
        <w:t>.</w:t>
      </w:r>
    </w:p>
    <w:p w:rsidR="001D294C" w:rsidRPr="006C5B2D" w:rsidRDefault="000C329F" w:rsidP="005D10D8">
      <w:pPr>
        <w:pStyle w:val="MDPI31text"/>
      </w:pPr>
      <w:r w:rsidRPr="00D836A2">
        <w:t xml:space="preserve">The World Health Organization (WHO) regional office </w:t>
      </w:r>
      <w:r w:rsidR="00FF17D2">
        <w:fldChar w:fldCharType="begin"/>
      </w:r>
      <w:r w:rsidR="006C5B2D">
        <w:instrText xml:space="preserve"> ADDIN REFMGR.CITE &lt;Refman&gt;&lt;Cite&gt;&lt;Author&gt;WHO regional office for Europe&lt;/Author&gt;&lt;Year&gt;2006&lt;/Year&gt;&lt;RecNum&gt;4748&lt;/RecNum&gt;&lt;IDText&gt;Food and nutrition policy for schools. A tool for the development of school nutrition programmes in the European Region&lt;/IDText&gt;&lt;MDL Ref_Type="Journal"&gt;&lt;Ref_Type&gt;Journal&lt;/Ref_Type&gt;&lt;Ref_ID&gt;4748&lt;/Ref_ID&gt;&lt;Title_Primary&gt;Food and nutrition policy for schools. A tool for the development of school nutrition programmes in the European Region&lt;/Title_Primary&gt;&lt;Authors_Primary&gt;WHO regional office for Europe&lt;/Authors_Primary&gt;&lt;Date_Primary&gt;2006&lt;/Date_Primary&gt;&lt;Keywords&gt;Food&lt;/Keywords&gt;&lt;Keywords&gt;Nutrition&lt;/Keywords&gt;&lt;Keywords&gt;Nutrition Policy&lt;/Keywords&gt;&lt;Keywords&gt;Policy&lt;/Keywords&gt;&lt;Keywords&gt;Schools&lt;/Keywords&gt;&lt;Keywords&gt;Region&lt;/Keywords&gt;&lt;Reprint&gt;Not in File&lt;/Reprint&gt;&lt;Periodical&gt;Programme for Nutrition and Food Security&lt;/Periodical&gt;&lt;Volume&gt;Copenhaguen&lt;/Volume&gt;&lt;Web_URL&gt;&lt;u&gt;http://www.euro.who.int/__data/assets/pdf_file/0019/152218/E89501.pdf?ua=1&lt;/u&gt;&lt;/Web_URL&gt;&lt;ZZ_JournalFull&gt;&lt;f name="System"&gt;Programme for Nutrition and Food Security&lt;/f&gt;&lt;/ZZ_JournalFull&gt;&lt;ZZ_WorkformID&gt;1&lt;/ZZ_WorkformID&gt;&lt;/MDL&gt;&lt;/Cite&gt;&lt;/Refman&gt;</w:instrText>
      </w:r>
      <w:r w:rsidR="00FF17D2">
        <w:fldChar w:fldCharType="separate"/>
      </w:r>
      <w:r w:rsidR="006C5B2D">
        <w:t>[4]</w:t>
      </w:r>
      <w:r w:rsidR="00FF17D2">
        <w:fldChar w:fldCharType="end"/>
      </w:r>
      <w:r w:rsidRPr="00D836A2">
        <w:t xml:space="preserve"> and the European Parliament </w:t>
      </w:r>
      <w:r w:rsidR="00FF17D2">
        <w:fldChar w:fldCharType="begin"/>
      </w:r>
      <w:r w:rsidR="006C5B2D">
        <w:instrText xml:space="preserve"> ADDIN REFMGR.CITE &lt;Refman&gt;&lt;Cite&gt;&lt;Author&gt;Commission de l&amp;apos;environnement de la sant&amp;#xE9; publique et de la s&amp;#xE9;curit&amp;#xE9; alimentaire&lt;/Author&gt;&lt;Year&gt;2008&lt;/Year&gt;&lt;RecNum&gt;4649&lt;/RecNum&gt;&lt;IDText&gt;Rapport sur le Livre blanc sur la nutrition, la surcharge pond&amp;#xE9;rale et l&amp;apos;ob&amp;#xE9;sit&amp;#xE9; (2007/2285(INI))&lt;/IDText&gt;&lt;MDL Ref_Type="Journal"&gt;&lt;Ref_Type&gt;Journal&lt;/Ref_Type&gt;&lt;Ref_ID&gt;4649&lt;/Ref_ID&gt;&lt;Title_Primary&gt;Rapport sur le Livre blanc sur la nutrition, la surcharge pond&amp;#xE9;rale et l&amp;apos;ob&amp;#xE9;sit&amp;#xE9; (2007/2285(INI))&lt;/Title_Primary&gt;&lt;Authors_Primary&gt;Commission de l&amp;apos;environnement de la sant&amp;#xE9; publique et de la s&amp;#xE9;curit&amp;#xE9; alimentaire&lt;/Authors_Primary&gt;&lt;Authors_Primary&gt;Rapporteur: Alessandro Foglietta&lt;/Authors_Primary&gt;&lt;Date_Primary&gt;2008&lt;/Date_Primary&gt;&lt;Keywords&gt;Nutrition&lt;/Keywords&gt;&lt;Keywords&gt;Et&lt;/Keywords&gt;&lt;Reprint&gt;Not in File&lt;/Reprint&gt;&lt;Periodical&gt;http://www.europarl.europa.eu/sides/getDoc.do?type=REPORT&amp;amp;reference=A6-2008-0256&amp;amp;language=FR&lt;/Periodical&gt;&lt;ZZ_JournalStdAbbrev&gt;&lt;f name="System"&gt;http://www.europarl.europa.eu/sides/getDoc.do?type=REPORT&amp;amp;reference=A6-2008-0256&amp;amp;language=FR&lt;/f&gt;&lt;/ZZ_JournalStdAbbrev&gt;&lt;ZZ_WorkformID&gt;1&lt;/ZZ_WorkformID&gt;&lt;/MDL&gt;&lt;/Cite&gt;&lt;/Refman&gt;</w:instrText>
      </w:r>
      <w:r w:rsidR="00FF17D2">
        <w:fldChar w:fldCharType="separate"/>
      </w:r>
      <w:r w:rsidR="006C5B2D">
        <w:t>[5]</w:t>
      </w:r>
      <w:r w:rsidR="00FF17D2">
        <w:fldChar w:fldCharType="end"/>
      </w:r>
      <w:r w:rsidRPr="00D836A2">
        <w:t xml:space="preserve"> have both emphasized the need to offer children healthier food at school, notably by developing or improving nutritional </w:t>
      </w:r>
      <w:r w:rsidR="005E214A" w:rsidRPr="00D836A2">
        <w:t xml:space="preserve">guidelines </w:t>
      </w:r>
      <w:r w:rsidRPr="00D836A2">
        <w:t xml:space="preserve">for school meals. </w:t>
      </w:r>
      <w:r w:rsidR="00AB2C87" w:rsidRPr="00D836A2">
        <w:t xml:space="preserve">School meals often have better nutritional quality than meals eaten outside the school </w:t>
      </w:r>
      <w:r w:rsidR="00FF17D2">
        <w:fldChar w:fldCharType="begin"/>
      </w:r>
      <w:r w:rsidR="006C5B2D">
        <w:instrText xml:space="preserve"> ADDIN REFMGR.CITE &lt;Refman&gt;&lt;Cite&gt;&lt;Author&gt;Lafay&lt;/Author&gt;&lt;Year&gt;2002&lt;/Year&gt;&lt;RecNum&gt;3596&lt;/RecNum&gt;&lt;IDText&gt;La restauration scolaire dans l&amp;apos;enqu&amp;#xEA;te INCA, 2e partie : Les repas servis en restauration scolaire : apports nutritionnels, alimentaires et impact sur la nutrition des enfants&lt;/IDText&gt;&lt;MDL Ref_Type="Journal"&gt;&lt;Ref_Type&gt;Journal&lt;/Ref_Type&gt;&lt;Ref_ID&gt;3596&lt;/Ref_ID&gt;&lt;Title_Primary&gt;La restauration scolaire dans l&amp;apos;enqu&amp;#xEA;te INCA, 2e partie : Les repas servis en restauration scolaire : apports nutritionnels, alimentaires et impact sur la nutrition des enfants&lt;/Title_Primary&gt;&lt;Authors_Primary&gt;Lafay,L.&lt;/Authors_Primary&gt;&lt;Authors_Primary&gt;Volatier,J-L.&lt;/Authors_Primary&gt;&lt;Authors_Primary&gt;Martin,A.&lt;/Authors_Primary&gt;&lt;Date_Primary&gt;2002&lt;/Date_Primary&gt;&lt;Keywords&gt;De&lt;/Keywords&gt;&lt;Keywords&gt;en&lt;/Keywords&gt;&lt;Keywords&gt;enfant&lt;/Keywords&gt;&lt;Keywords&gt;enfants&lt;/Keywords&gt;&lt;Keywords&gt;Et&lt;/Keywords&gt;&lt;Keywords&gt;Nutrition&lt;/Keywords&gt;&lt;Reprint&gt;Not in File&lt;/Reprint&gt;&lt;Start_Page&gt;395&lt;/Start_Page&gt;&lt;End_Page&gt;404&lt;/End_Page&gt;&lt;Periodical&gt;Cah Nutr Diet&lt;/Periodical&gt;&lt;Volume&gt;37&lt;/Volume&gt;&lt;Issue&gt;6&lt;/Issue&gt;&lt;Web_URL_Link1&gt;&lt;u&gt;file://C:\Documents and Settings\Administrateur\Mes documents\Biblio_Doc\PDF et autres Doc\France\AFSSA, INCA\RestaurationScolaireLafay2.pdf&lt;/u&gt;&lt;/Web_URL_Link1&gt;&lt;ZZ_JournalFull&gt;&lt;f name="System"&gt;Cah Nutr Diet&lt;/f&gt;&lt;/ZZ_JournalFull&gt;&lt;ZZ_WorkformID&gt;1&lt;/ZZ_WorkformID&gt;&lt;/MDL&gt;&lt;/Cite&gt;&lt;Cite&gt;&lt;Author&gt;Evans&lt;/Author&gt;&lt;Year&gt;2016&lt;/Year&gt;&lt;RecNum&gt;5174&lt;/RecNum&gt;&lt;IDText&gt;Impact of school lunch type on nutritional quality of English children&amp;apos;s diets&lt;/IDText&gt;&lt;MDL Ref_Type="Journal"&gt;&lt;Ref_Type&gt;Journal&lt;/Ref_Type&gt;&lt;Ref_ID&gt;5174&lt;/Ref_ID&gt;&lt;Title_Primary&gt;Impact of school lunch type on nutritional quality of English children&amp;apos;s diets&lt;/Title_Primary&gt;&lt;Authors_Primary&gt;Evans,C.E.&lt;/Authors_Primary&gt;&lt;Authors_Primary&gt;Mandl,V.&lt;/Authors_Primary&gt;&lt;Authors_Primary&gt;Christian,M.S.&lt;/Authors_Primary&gt;&lt;Authors_Primary&gt;Cade,J.E.&lt;/Authors_Primary&gt;&lt;Date_Primary&gt;2016/1&lt;/Date_Primary&gt;&lt;Keywords&gt;administration &amp;amp; dosage&lt;/Keywords&gt;&lt;Keywords&gt;Aged&lt;/Keywords&gt;&lt;Keywords&gt;analysis&lt;/Keywords&gt;&lt;Keywords&gt;Carbohydrate&lt;/Keywords&gt;&lt;Keywords&gt;Carbohydrates&lt;/Keywords&gt;&lt;Keywords&gt;Child&lt;/Keywords&gt;&lt;Keywords&gt;children&lt;/Keywords&gt;&lt;Keywords&gt;Cross-Sectional Studies&lt;/Keywords&gt;&lt;Keywords&gt;Diet&lt;/Keywords&gt;&lt;Keywords&gt;DIETARY&lt;/Keywords&gt;&lt;Keywords&gt;Dietary Carbohydrates&lt;/Keywords&gt;&lt;Keywords&gt;Dietary Fiber&lt;/Keywords&gt;&lt;Keywords&gt;Dietary Proteins&lt;/Keywords&gt;&lt;Keywords&gt;Drinking&lt;/Keywords&gt;&lt;Keywords&gt;Drinking Water&lt;/Keywords&gt;&lt;Keywords&gt;Energy&lt;/Keywords&gt;&lt;Keywords&gt;Energy Intake&lt;/Keywords&gt;&lt;Keywords&gt;Energy-Intake&lt;/Keywords&gt;&lt;Keywords&gt;England&lt;/Keywords&gt;&lt;Keywords&gt;epidemiology&lt;/Keywords&gt;&lt;Keywords&gt;Female&lt;/Keywords&gt;&lt;Keywords&gt;Food&lt;/Keywords&gt;&lt;Keywords&gt;Food Services&lt;/Keywords&gt;&lt;Keywords&gt;health&lt;/Keywords&gt;&lt;Keywords&gt;Humans&lt;/Keywords&gt;&lt;Keywords&gt;Im&lt;/Keywords&gt;&lt;Keywords&gt;Intake&lt;/Keywords&gt;&lt;Keywords&gt;Is&lt;/Keywords&gt;&lt;Keywords&gt;level&lt;/Keywords&gt;&lt;Keywords&gt;Logistic Models&lt;/Keywords&gt;&lt;Keywords&gt;Lunch&lt;/Keywords&gt;&lt;Keywords&gt;Male&lt;/Keywords&gt;&lt;Keywords&gt;Meals&lt;/Keywords&gt;&lt;Keywords&gt;Nutrient&lt;/Keywords&gt;&lt;Keywords&gt;Nutritive Value&lt;/Keywords&gt;&lt;Keywords&gt;Policy&lt;/Keywords&gt;&lt;Keywords&gt;protein&lt;/Keywords&gt;&lt;Keywords&gt;Proteins&lt;/Keywords&gt;&lt;Keywords&gt;Research&lt;/Keywords&gt;&lt;Keywords&gt;Schools&lt;/Keywords&gt;&lt;Keywords&gt;Science&lt;/Keywords&gt;&lt;Keywords&gt;Sodium&lt;/Keywords&gt;&lt;Keywords&gt;Sodium,Dietary&lt;/Keywords&gt;&lt;Keywords&gt;standards&lt;/Keywords&gt;&lt;Keywords&gt;To&lt;/Keywords&gt;&lt;Keywords&gt;United Kingdom&lt;/Keywords&gt;&lt;Keywords&gt;Vegetables&lt;/Keywords&gt;&lt;Keywords&gt;Water&lt;/Keywords&gt;&lt;Keywords&gt;Zinc&lt;/Keywords&gt;&lt;Reprint&gt;Not in File&lt;/Reprint&gt;&lt;Start_Page&gt;36&lt;/Start_Page&gt;&lt;End_Page&gt;45&lt;/End_Page&gt;&lt;Periodical&gt;Public Health Nutr&lt;/Periodical&gt;&lt;Volume&gt;19&lt;/Volume&gt;&lt;Issue&gt;1&lt;/Issue&gt;&lt;Address&gt;1Nutritional Epidemiology Group,School of Food Science &amp;amp; Nutrition,University of Leeds,Leeds LS2 9JT,UK&amp;#xA;1Nutritional Epidemiology Group,School of Food Science &amp;amp; Nutrition,University of Leeds,Leeds LS2 9JT,UK&amp;#xA;2School of Health and Wellbeing,Leeds Beckett University,Leeds LS1 3HE,UK&amp;#xA;1Nutritional Epidemiology Group,School of Food Science &amp;amp; Nutrition,University of Leeds,Leeds LS2 9JT,UK&lt;/Address&gt;&lt;Web_URL&gt;PM:25936356&lt;/Web_URL&gt;&lt;ZZ_JournalStdAbbrev&gt;&lt;f name="System"&gt;Public Health Nutr&lt;/f&gt;&lt;/ZZ_JournalStdAbbrev&gt;&lt;ZZ_WorkformID&gt;1&lt;/ZZ_WorkformID&gt;&lt;/MDL&gt;&lt;/Cite&gt;&lt;/Refman&gt;</w:instrText>
      </w:r>
      <w:r w:rsidR="00FF17D2">
        <w:fldChar w:fldCharType="separate"/>
      </w:r>
      <w:r w:rsidR="006C5B2D">
        <w:t>[6,7]</w:t>
      </w:r>
      <w:r w:rsidR="00FF17D2">
        <w:fldChar w:fldCharType="end"/>
      </w:r>
      <w:r w:rsidR="00AB2C87" w:rsidRPr="00D836A2">
        <w:t xml:space="preserve">. </w:t>
      </w:r>
      <w:r w:rsidRPr="00D836A2">
        <w:t xml:space="preserve">Most European countries have established specific </w:t>
      </w:r>
      <w:r w:rsidRPr="00D836A2">
        <w:lastRenderedPageBreak/>
        <w:t xml:space="preserve">recommendations for school meals, but only the United Kingdom, Portugal </w:t>
      </w:r>
      <w:r w:rsidR="00FF17D2">
        <w:fldChar w:fldCharType="begin"/>
      </w:r>
      <w:r w:rsidR="006C5B2D">
        <w:instrText xml:space="preserve"> ADDIN REFMGR.CITE &lt;Refman&gt;&lt;Cite&gt;&lt;Author&gt;Weichselbaum&lt;/Author&gt;&lt;Year&gt;2011&lt;/Year&gt;&lt;RecNum&gt;4374&lt;/RecNum&gt;&lt;IDText&gt;Nutrition in schools across Europe: a summary report of a meeting of European Nutrition Foundations, Madrid, April 2010&lt;/IDText&gt;&lt;MDL Ref_Type="Journal"&gt;&lt;Ref_Type&gt;Journal&lt;/Ref_Type&gt;&lt;Ref_ID&gt;4374&lt;/Ref_ID&gt;&lt;Title_Primary&gt;&lt;f name="Times New Roman"&gt;Nutrition in schools across Europe: a summary report of a meeting of European Nutrition Foundations, Madrid, April 2010&lt;/f&gt;&lt;/Title_Primary&gt;&lt;Authors_Primary&gt;Weichselbaum&lt;/Authors_Primary&gt;&lt;Authors_Primary&gt;Gibson-Moore&lt;/Authors_Primary&gt;&lt;Authors_Primary&gt;Ballam&lt;/Authors_Primary&gt;&lt;Authors_Primary&gt;Buttriss&lt;/Authors_Primary&gt;&lt;Date_Primary&gt;2011&lt;/Date_Primary&gt;&lt;Keywords&gt;Europe&lt;/Keywords&gt;&lt;Keywords&gt;Nutrition&lt;/Keywords&gt;&lt;Keywords&gt;Schools&lt;/Keywords&gt;&lt;Reprint&gt;In File&lt;/Reprint&gt;&lt;Start_Page&gt;124&lt;/Start_Page&gt;&lt;End_Page&gt;141&lt;/End_Page&gt;&lt;Periodical&gt;Nutr Bull&lt;/Periodical&gt;&lt;Volume&gt;36&lt;/Volume&gt;&lt;Web_URL_Link1&gt;&lt;u&gt;file://C:\Users\darmon\Documents\Biblio_Doc\PDF et autres Doc\School nutrition across Europe 2010.pdf&lt;/u&gt;&lt;/Web_URL_Link1&gt;&lt;ZZ_JournalFull&gt;&lt;f name="System"&gt;Nutr Bull&lt;/f&gt;&lt;/ZZ_JournalFull&gt;&lt;ZZ_WorkformID&gt;1&lt;/ZZ_WorkformID&gt;&lt;/MDL&gt;&lt;/Cite&gt;&lt;/Refman&gt;</w:instrText>
      </w:r>
      <w:r w:rsidR="00FF17D2">
        <w:fldChar w:fldCharType="separate"/>
      </w:r>
      <w:r w:rsidR="006C5B2D">
        <w:t>[8]</w:t>
      </w:r>
      <w:r w:rsidR="00FF17D2">
        <w:fldChar w:fldCharType="end"/>
      </w:r>
      <w:r w:rsidRPr="00D836A2">
        <w:t xml:space="preserve">, and more recently France </w:t>
      </w:r>
      <w:r w:rsidR="00FF17D2">
        <w:fldChar w:fldCharType="begin"/>
      </w:r>
      <w:r w:rsidR="006C5B2D">
        <w:instrText xml:space="preserve"> ADDIN REFMGR.CITE &lt;Refman&gt;&lt;Cite&gt;&lt;Author&gt;R&amp;#xE9;publique Fran&amp;#xE7;aise&lt;/Author&gt;&lt;Year&gt;2011&lt;/Year&gt;&lt;RecNum&gt;4749&lt;/RecNum&gt;&lt;IDText&gt;Decret n&amp;#xB0;2011-1227 du 30 septembre 2011 relatif a la qualit&amp;#xE9; nutritionnelle des repas servis dans le cadre de la restauration scolaire&lt;/IDText&gt;&lt;MDL Ref_Type="Journal"&gt;&lt;Ref_Type&gt;Journal&lt;/Ref_Type&gt;&lt;Ref_ID&gt;4749&lt;/Ref_ID&gt;&lt;Title_Primary&gt;&lt;f name="AdvM2701"&gt;Decret n&lt;/f&gt;&lt;f name="AdvP4C4E74"&gt;&amp;#xB0;&lt;/f&gt;&lt;f name="AdvM2701"&gt;2011-1227 du 30 septembre 2011 relatif a la qualit&amp;#xE9; nutritionnelle des repas servis dans le cadre de la restauration scolaire&lt;/f&gt;&lt;/Title_Primary&gt;&lt;Authors_Primary&gt;R&amp;#xE9;publique Fran&amp;#xE7;aise&lt;/Authors_Primary&gt;&lt;Date_Primary&gt;2011&lt;/Date_Primary&gt;&lt;Keywords&gt;De&lt;/Keywords&gt;&lt;Keywords&gt;Du&lt;/Keywords&gt;&lt;Reprint&gt;Not in File&lt;/Reprint&gt;&lt;Periodical&gt;Journal Officiel de la R&amp;#xE9;publique Fran&amp;#xE7;aise&lt;/Periodical&gt;&lt;Volume&gt;JORF n&amp;#xB0; 0229 du 2 Octobre 2011:16572 Texte n&amp;#xB0;29:NOR: AGRG1032342D &lt;/Volume&gt;&lt;ZZ_JournalFull&gt;&lt;f name="System"&gt;Journal Officiel de la R&amp;#xE9;publique Fran&amp;#xE7;aise&lt;/f&gt;&lt;/ZZ_JournalFull&gt;&lt;ZZ_WorkformID&gt;1&lt;/ZZ_WorkformID&gt;&lt;/MDL&gt;&lt;/Cite&gt;&lt;Cite&gt;&lt;Author&gt;R&amp;#xE9;publique Fran&amp;#xE7;aise&lt;/Author&gt;&lt;Year&gt;2011&lt;/Year&gt;&lt;RecNum&gt;5114&lt;/RecNum&gt;&lt;IDText&gt;Arr&amp;#xEA;t&amp;#xE9; du 30 septembre 2011 relatif &amp;#xE0; la qualit&amp;#xE9; nutritionnelle des repas servis dans le cadre de la restauration scolaire&lt;/IDText&gt;&lt;MDL Ref_Type="Journal"&gt;&lt;Ref_Type&gt;Journal&lt;/Ref_Type&gt;&lt;Ref_ID&gt;5114&lt;/Ref_ID&gt;&lt;Title_Primary&gt;&lt;b&gt;Arr&amp;#xEA;t&amp;#xE9; du 30 septembre 2011 relatif &amp;#xE0; la qualit&amp;#xE9; nutritionnelle des repas servis dans le cadre de la restauration scolaire&lt;/b&gt;&lt;/Title_Primary&gt;&lt;Authors_Primary&gt;R&amp;#xE9;publique Fran&amp;#xE7;aise&lt;/Authors_Primary&gt;&lt;Date_Primary&gt;2011&lt;/Date_Primary&gt;&lt;Keywords&gt;De&lt;/Keywords&gt;&lt;Keywords&gt;Du&lt;/Keywords&gt;&lt;Reprint&gt;Not in File&lt;/Reprint&gt;&lt;Periodical&gt;Journal Officiel de la R&amp;#xE9;publique Fran&amp;#xE7;aise&lt;/Periodical&gt;&lt;Volume&gt;JORF n&amp;#xB0;0229 du 2 octobre 2011: 16575 Texte n&amp;#xB0;34-NOR: AGRG1032380A Version consolid&amp;#xE9;e au 25 juin 2017 &lt;/Volume&gt;&lt;ZZ_JournalFull&gt;&lt;f name="System"&gt;Journal Officiel de la R&amp;#xE9;publique Fran&amp;#xE7;aise&lt;/f&gt;&lt;/ZZ_JournalFull&gt;&lt;ZZ_WorkformID&gt;1&lt;/ZZ_WorkformID&gt;&lt;/MDL&gt;&lt;/Cite&gt;&lt;/Refman&gt;</w:instrText>
      </w:r>
      <w:r w:rsidR="00FF17D2">
        <w:fldChar w:fldCharType="separate"/>
      </w:r>
      <w:r w:rsidR="006C5B2D" w:rsidRPr="006C5B2D">
        <w:t>[9,10]</w:t>
      </w:r>
      <w:r w:rsidR="00FF17D2">
        <w:fldChar w:fldCharType="end"/>
      </w:r>
      <w:r w:rsidR="001D294C" w:rsidRPr="006C5B2D">
        <w:t xml:space="preserve"> </w:t>
      </w:r>
      <w:r w:rsidRPr="006C5B2D">
        <w:t xml:space="preserve">have made them mandatory. </w:t>
      </w:r>
    </w:p>
    <w:p w:rsidR="000C329F" w:rsidRPr="00D836A2" w:rsidRDefault="000C329F" w:rsidP="005D10D8">
      <w:pPr>
        <w:pStyle w:val="MDPI31text"/>
      </w:pPr>
      <w:r w:rsidRPr="00D836A2">
        <w:t xml:space="preserve">In France, the entire public catering sector has been the object of nutritional </w:t>
      </w:r>
      <w:r w:rsidR="005E214A" w:rsidRPr="00D836A2">
        <w:t xml:space="preserve">guidelines </w:t>
      </w:r>
      <w:r w:rsidRPr="00D836A2">
        <w:t xml:space="preserve">since 2001. These </w:t>
      </w:r>
      <w:r w:rsidR="005E214A" w:rsidRPr="00D836A2">
        <w:t xml:space="preserve">guidelines </w:t>
      </w:r>
      <w:r w:rsidRPr="00D836A2">
        <w:t xml:space="preserve">were elaborated and are regularly updated </w:t>
      </w:r>
      <w:r w:rsidR="00FF17D2">
        <w:fldChar w:fldCharType="begin"/>
      </w:r>
      <w:r w:rsidR="006C5B2D">
        <w:instrText xml:space="preserve"> ADDIN REFMGR.CITE &lt;Refman&gt;&lt;Cite&gt;&lt;Author&gt;Minist&amp;#xE8;re de l&amp;apos;Economie&lt;/Author&gt;&lt;Year&gt;2007&lt;/Year&gt;&lt;RecNum&gt;3327&lt;/RecNum&gt;&lt;IDText&gt;Recommandation relative &amp;#xE0; la nutrition&lt;/IDText&gt;&lt;MDL Ref_Type="Journal"&gt;&lt;Ref_Type&gt;Journal&lt;/Ref_Type&gt;&lt;Ref_ID&gt;3327&lt;/Ref_ID&gt;&lt;Title_Primary&gt;Recommandation relative &amp;#xE0; la nutrition&lt;/Title_Primary&gt;&lt;Authors_Primary&gt;Minist&amp;#xE8;re de l&amp;apos;Economie&lt;/Authors_Primary&gt;&lt;Authors_Primary&gt;Groupe d&amp;apos;Etude March&amp;#xE9;s Restauration collective et Nutrition (GEM-RCN)&lt;/Authors_Primary&gt;&lt;Date_Primary&gt;2007&lt;/Date_Primary&gt;&lt;Keywords&gt;De&lt;/Keywords&gt;&lt;Keywords&gt;Du&lt;/Keywords&gt;&lt;Keywords&gt;Et&lt;/Keywords&gt;&lt;Keywords&gt;Nutrition&lt;/Keywords&gt;&lt;Reprint&gt;Not in File&lt;/Reprint&gt;&lt;Periodical&gt;n&amp;#xB0;J5-07 du 4 Mai 2007&lt;/Periodical&gt;&lt;ZZ_JournalFull&gt;&lt;f name="System"&gt;n&amp;#xB0;J5-07 du 4 Mai 2007&lt;/f&gt;&lt;/ZZ_JournalFull&gt;&lt;ZZ_WorkformID&gt;1&lt;/ZZ_WorkformID&gt;&lt;/MDL&gt;&lt;/Cite&gt;&lt;Cite&gt;&lt;Author&gt;Minist&amp;#xE8;re de l&amp;apos;Economie&lt;/Author&gt;&lt;Year&gt;2011&lt;/Year&gt;&lt;RecNum&gt;5060&lt;/RecNum&gt;&lt;IDText&gt;Recommandation Nutrition Compl&amp;#xE9;t&amp;#xE9;e et mise &amp;#xE0; jour au 10 octobre 2011&lt;/IDText&gt;&lt;MDL Ref_Type="Journal"&gt;&lt;Ref_Type&gt;Journal&lt;/Ref_Type&gt;&lt;Ref_ID&gt;5060&lt;/Ref_ID&gt;&lt;Title_Primary&gt;Recommandation Nutrition Compl&amp;#xE9;t&amp;#xE9;e et mise &amp;#xE0; jour au 10 octobre 2011&lt;/Title_Primary&gt;&lt;Authors_Primary&gt;Minist&amp;#xE8;re de l&amp;apos;Economie&lt;/Authors_Primary&gt;&lt;Authors_Primary&gt;Groupe d&amp;apos;Etude des March&amp;#xE9;s de Restauration Collective et de Nutrition (GEM-RCN)&lt;/Authors_Primary&gt;&lt;Date_Primary&gt;2011&lt;/Date_Primary&gt;&lt;Keywords&gt;De&lt;/Keywords&gt;&lt;Keywords&gt;Du&lt;/Keywords&gt;&lt;Keywords&gt;Et&lt;/Keywords&gt;&lt;Keywords&gt;Nutrition&lt;/Keywords&gt;&lt;Reprint&gt;Not in File&lt;/Reprint&gt;&lt;Periodical&gt;[en ligne] (Consult&amp;#xE9; le 25 juin 2017)&lt;/Periodical&gt;&lt;Volume&gt;&lt;f name="Calibri"&gt;&lt;u&gt;https://www.economie.gouv.fr/daj/oeap-archives-recommandation-nutrition-gem-rcn-completee-et-mise-a-jour-10-octobre-2011 &lt;/u&gt;&lt;/f&gt;&lt;/Volume&gt;&lt;Web_URL_Link1&gt;&lt;u&gt;http://www.economie.gouv.fr/files/files/directions_services/daj/marches_publics/oeap/gem/ARCHIVE-nutrition/nutrition.pdf&lt;/u&gt;&lt;/Web_URL_Link1&gt;&lt;ZZ_JournalFull&gt;&lt;f name="System"&gt;[en ligne] (Consult&amp;#xE9; le 25 juin 2017)&lt;/f&gt;&lt;/ZZ_JournalFull&gt;&lt;ZZ_WorkformID&gt;1&lt;/ZZ_WorkformID&gt;&lt;/MDL&gt;&lt;/Cite&gt;&lt;Cite&gt;&lt;Author&gt;Minist&amp;#xE8;re de l&amp;apos;Economie&lt;/Author&gt;&lt;Year&gt;2015&lt;/Year&gt;&lt;RecNum&gt;5113&lt;/RecNum&gt;&lt;IDText&gt;Recommandation Nutrition,Version 2.0 Juillet 2015&lt;/IDText&gt;&lt;MDL Ref_Type="Journal"&gt;&lt;Ref_Type&gt;Journal&lt;/Ref_Type&gt;&lt;Ref_ID&gt;5113&lt;/Ref_ID&gt;&lt;Title_Primary&gt;Recommandation Nutrition,Version 2.0 Juillet 2015&lt;/Title_Primary&gt;&lt;Authors_Primary&gt;Minist&amp;#xE8;re de l&amp;apos;Economie&lt;/Authors_Primary&gt;&lt;Authors_Primary&gt;Direction des Affaires Juridiques&lt;/Authors_Primary&gt;&lt;Authors_Primary&gt;Observatoire Economique de l&amp;apos;Achat Public&lt;/Authors_Primary&gt;&lt;Authors_Primary&gt;Groupe d&amp;apos;Etude des March&amp;#xE9;s Restauration Collective et de Nutrition (GEM-RCN)&lt;/Authors_Primary&gt;&lt;Date_Primary&gt;2015&lt;/Date_Primary&gt;&lt;Keywords&gt;De&lt;/Keywords&gt;&lt;Keywords&gt;Du&lt;/Keywords&gt;&lt;Keywords&gt;Et&lt;/Keywords&gt;&lt;Keywords&gt;Nutrition&lt;/Keywords&gt;&lt;Reprint&gt;Not in File&lt;/Reprint&gt;&lt;Periodical&gt;Version 2.0 Juillet 2015&lt;/Periodical&gt;&lt;Volume&gt;[en ligne] (Consult&amp;#xE9; le 25 juin 2017) https://www.economie.gouv.fr/daj/recommandation-nutrition&lt;/Volume&gt;&lt;ZZ_JournalStdAbbrev&gt;&lt;f name="System"&gt;Version 2.0 Juillet 2015&lt;/f&gt;&lt;/ZZ_JournalStdAbbrev&gt;&lt;ZZ_WorkformID&gt;1&lt;/ZZ_WorkformID&gt;&lt;/MDL&gt;&lt;/Cite&gt;&lt;/Refman&gt;</w:instrText>
      </w:r>
      <w:r w:rsidR="00FF17D2">
        <w:fldChar w:fldCharType="separate"/>
      </w:r>
      <w:r w:rsidR="006C5B2D">
        <w:t>[11-13]</w:t>
      </w:r>
      <w:r w:rsidR="00FF17D2">
        <w:fldChar w:fldCharType="end"/>
      </w:r>
      <w:r w:rsidRPr="00D836A2">
        <w:t xml:space="preserve"> by the </w:t>
      </w:r>
      <w:r w:rsidR="00641B12" w:rsidRPr="00641B12">
        <w:rPr>
          <w:i/>
        </w:rPr>
        <w:t>Groupe d’Etude des Marchés Restauration Collective et Nutrition</w:t>
      </w:r>
      <w:r w:rsidRPr="00D836A2">
        <w:t xml:space="preserve"> (GEM-RCN [public catering and nutrition market study group]), a consultation body that includes the main public and private partners involved in public catering in France, officially brought together under the auspices of </w:t>
      </w:r>
      <w:r w:rsidR="00BA0483" w:rsidRPr="00D836A2">
        <w:t xml:space="preserve">the </w:t>
      </w:r>
      <w:r w:rsidRPr="00D836A2">
        <w:t xml:space="preserve">French Ministry of the Economy. These </w:t>
      </w:r>
      <w:r w:rsidR="005E214A" w:rsidRPr="00D836A2">
        <w:t xml:space="preserve">guidelines </w:t>
      </w:r>
      <w:r w:rsidRPr="00D836A2">
        <w:t xml:space="preserve">pursue a nutritional and public health goal while taking into account the constraints and practices of professionals in the field, diners’ food habits, and the desire to foster conviviality and educate children about dietary diversity. The GEM-RCN’s </w:t>
      </w:r>
      <w:r w:rsidR="005E214A" w:rsidRPr="00D836A2">
        <w:t>nutrition guidelines</w:t>
      </w:r>
      <w:r w:rsidR="00BA0483" w:rsidRPr="00D836A2">
        <w:t xml:space="preserve"> </w:t>
      </w:r>
      <w:r w:rsidRPr="00D836A2">
        <w:t xml:space="preserve">define the general format of meals, set portion sizes for the dishes and foods most frequently served in public catering, and recommend service frequencies for fifteen types of dishes in a series of 20 consecutive lunches (or approximately 4 weeks of school). These 15 frequency criteria became </w:t>
      </w:r>
      <w:r w:rsidR="00B843D9" w:rsidRPr="00D836A2">
        <w:t>mandatory</w:t>
      </w:r>
      <w:r w:rsidRPr="00D836A2">
        <w:t xml:space="preserve"> in all schools in 2011 </w:t>
      </w:r>
      <w:r w:rsidR="00FF17D2">
        <w:fldChar w:fldCharType="begin"/>
      </w:r>
      <w:r w:rsidR="006C5B2D">
        <w:instrText xml:space="preserve"> ADDIN REFMGR.CITE &lt;Refman&gt;&lt;Cite&gt;&lt;Author&gt;R&amp;#xE9;publique Fran&amp;#xE7;aise&lt;/Author&gt;&lt;Year&gt;2011&lt;/Year&gt;&lt;RecNum&gt;4749&lt;/RecNum&gt;&lt;IDText&gt;Decret n&amp;#xB0;2011-1227 du 30 septembre 2011 relatif a la qualit&amp;#xE9; nutritionnelle des repas servis dans le cadre de la restauration scolaire&lt;/IDText&gt;&lt;MDL Ref_Type="Journal"&gt;&lt;Ref_Type&gt;Journal&lt;/Ref_Type&gt;&lt;Ref_ID&gt;4749&lt;/Ref_ID&gt;&lt;Title_Primary&gt;&lt;f name="AdvM2701"&gt;Decret n&lt;/f&gt;&lt;f name="AdvP4C4E74"&gt;&amp;#xB0;&lt;/f&gt;&lt;f name="AdvM2701"&gt;2011-1227 du 30 septembre 2011 relatif a la qualit&amp;#xE9; nutritionnelle des repas servis dans le cadre de la restauration scolaire&lt;/f&gt;&lt;/Title_Primary&gt;&lt;Authors_Primary&gt;R&amp;#xE9;publique Fran&amp;#xE7;aise&lt;/Authors_Primary&gt;&lt;Date_Primary&gt;2011&lt;/Date_Primary&gt;&lt;Keywords&gt;De&lt;/Keywords&gt;&lt;Keywords&gt;Du&lt;/Keywords&gt;&lt;Reprint&gt;Not in File&lt;/Reprint&gt;&lt;Periodical&gt;Journal Officiel de la R&amp;#xE9;publique Fran&amp;#xE7;aise&lt;/Periodical&gt;&lt;Volume&gt;JORF n&amp;#xB0; 0229 du 2 Octobre 2011:16572 Texte n&amp;#xB0;29:NOR: AGRG1032342D &lt;/Volume&gt;&lt;ZZ_JournalFull&gt;&lt;f name="System"&gt;Journal Officiel de la R&amp;#xE9;publique Fran&amp;#xE7;aise&lt;/f&gt;&lt;/ZZ_JournalFull&gt;&lt;ZZ_WorkformID&gt;1&lt;/ZZ_WorkformID&gt;&lt;/MDL&gt;&lt;/Cite&gt;&lt;Cite&gt;&lt;Author&gt;R&amp;#xE9;publique Fran&amp;#xE7;aise&lt;/Author&gt;&lt;Year&gt;2011&lt;/Year&gt;&lt;RecNum&gt;5114&lt;/RecNum&gt;&lt;IDText&gt;Arr&amp;#xEA;t&amp;#xE9; du 30 septembre 2011 relatif &amp;#xE0; la qualit&amp;#xE9; nutritionnelle des repas servis dans le cadre de la restauration scolaire&lt;/IDText&gt;&lt;MDL Ref_Type="Journal"&gt;&lt;Ref_Type&gt;Journal&lt;/Ref_Type&gt;&lt;Ref_ID&gt;5114&lt;/Ref_ID&gt;&lt;Title_Primary&gt;&lt;b&gt;Arr&amp;#xEA;t&amp;#xE9; du 30 septembre 2011 relatif &amp;#xE0; la qualit&amp;#xE9; nutritionnelle des repas servis dans le cadre de la restauration scolaire&lt;/b&gt;&lt;/Title_Primary&gt;&lt;Authors_Primary&gt;R&amp;#xE9;publique Fran&amp;#xE7;aise&lt;/Authors_Primary&gt;&lt;Date_Primary&gt;2011&lt;/Date_Primary&gt;&lt;Keywords&gt;De&lt;/Keywords&gt;&lt;Keywords&gt;Du&lt;/Keywords&gt;&lt;Reprint&gt;Not in File&lt;/Reprint&gt;&lt;Periodical&gt;Journal Officiel de la R&amp;#xE9;publique Fran&amp;#xE7;aise&lt;/Periodical&gt;&lt;Volume&gt;JORF n&amp;#xB0;0229 du 2 octobre 2011: 16575 Texte n&amp;#xB0;34-NOR: AGRG1032380A Version consolid&amp;#xE9;e au 25 juin 2017 &lt;/Volume&gt;&lt;ZZ_JournalFull&gt;&lt;f name="System"&gt;Journal Officiel de la R&amp;#xE9;publique Fran&amp;#xE7;aise&lt;/f&gt;&lt;/ZZ_JournalFull&gt;&lt;ZZ_WorkformID&gt;1&lt;/ZZ_WorkformID&gt;&lt;/MDL&gt;&lt;/Cite&gt;&lt;/Refman&gt;</w:instrText>
      </w:r>
      <w:r w:rsidR="00FF17D2">
        <w:fldChar w:fldCharType="separate"/>
      </w:r>
      <w:r w:rsidR="006C5B2D">
        <w:t>[9,10]</w:t>
      </w:r>
      <w:r w:rsidR="00FF17D2">
        <w:fldChar w:fldCharType="end"/>
      </w:r>
      <w:r w:rsidRPr="00D836A2">
        <w:t xml:space="preserve">. The studies conducted by the </w:t>
      </w:r>
      <w:r w:rsidR="00641B12" w:rsidRPr="00641B12">
        <w:rPr>
          <w:i/>
        </w:rPr>
        <w:t>Agence Nationale de Sécurité Sanitaire de l’Alimentation, de l’Environnement et du Travail</w:t>
      </w:r>
      <w:r w:rsidRPr="00D836A2">
        <w:t xml:space="preserve"> (ANSES [the French agency for food, environmental and occupational health safety]) before the </w:t>
      </w:r>
      <w:r w:rsidR="005E214A" w:rsidRPr="00D836A2">
        <w:t xml:space="preserve">guidelines </w:t>
      </w:r>
      <w:r w:rsidRPr="00D836A2">
        <w:t xml:space="preserve">became mandatory had shown that </w:t>
      </w:r>
      <w:r w:rsidR="00FA09F5" w:rsidRPr="00D836A2">
        <w:t xml:space="preserve">these criteria </w:t>
      </w:r>
      <w:r w:rsidRPr="00D836A2">
        <w:t xml:space="preserve">were not known widely enough, explaining </w:t>
      </w:r>
      <w:r w:rsidR="00FA09F5" w:rsidRPr="00D836A2">
        <w:t>insufficient</w:t>
      </w:r>
      <w:r w:rsidRPr="00D836A2">
        <w:t xml:space="preserve"> appli</w:t>
      </w:r>
      <w:r w:rsidR="00FA09F5" w:rsidRPr="00D836A2">
        <w:t>cation</w:t>
      </w:r>
      <w:r w:rsidRPr="00D836A2">
        <w:t xml:space="preserve"> by professionals </w:t>
      </w:r>
      <w:r w:rsidR="00FF17D2">
        <w:fldChar w:fldCharType="begin"/>
      </w:r>
      <w:r w:rsidR="006C5B2D">
        <w:instrText xml:space="preserve"> ADDIN REFMGR.CITE &lt;Refman&gt;&lt;Cite&gt;&lt;Author&gt;Dubuisson&lt;/Author&gt;&lt;Year&gt;2009&lt;/Year&gt;&lt;RecNum&gt;3773&lt;/RecNum&gt;&lt;IDText&gt;School meals in French secondary state schools with regard to the national recommendations&lt;/IDText&gt;&lt;MDL Ref_Type="Journal"&gt;&lt;Ref_Type&gt;Journal&lt;/Ref_Type&gt;&lt;Ref_ID&gt;3773&lt;/Ref_ID&gt;&lt;Title_Primary&gt;School meals in French secondary state schools with regard to the national recommendations&lt;/Title_Primary&gt;&lt;Authors_Primary&gt;Dubuisson,C.&lt;/Authors_Primary&gt;&lt;Authors_Primary&gt;Lioret,S.&lt;/Authors_Primary&gt;&lt;Authors_Primary&gt;Calamassi-Tran,G.&lt;/Authors_Primary&gt;&lt;Authors_Primary&gt;Volatier,J.L.&lt;/Authors_Primary&gt;&lt;Authors_Primary&gt;Lafay,L.&lt;/Authors_Primary&gt;&lt;Date_Primary&gt;2009/7&lt;/Date_Primary&gt;&lt;Keywords&gt;Adolescent&lt;/Keywords&gt;&lt;Keywords&gt;analysis&lt;/Keywords&gt;&lt;Keywords&gt;Analysis of Variance&lt;/Keywords&gt;&lt;Keywords&gt;Child&lt;/Keywords&gt;&lt;Keywords&gt;Comparative Study&lt;/Keywords&gt;&lt;Keywords&gt;Cross-Sectional Studies&lt;/Keywords&gt;&lt;Keywords&gt;Dairy Products&lt;/Keywords&gt;&lt;Keywords&gt;Diet&lt;/Keywords&gt;&lt;Keywords&gt;DIETARY&lt;/Keywords&gt;&lt;Keywords&gt;Du&lt;/Keywords&gt;&lt;Keywords&gt;epidemiology&lt;/Keywords&gt;&lt;Keywords&gt;Female&lt;/Keywords&gt;&lt;Keywords&gt;Food&lt;/Keywords&gt;&lt;Keywords&gt;Food Services&lt;/Keywords&gt;&lt;Keywords&gt;France&lt;/Keywords&gt;&lt;Keywords&gt;Fruit&lt;/Keywords&gt;&lt;Keywords&gt;Guideline Adherence&lt;/Keywords&gt;&lt;Keywords&gt;Guidelines&lt;/Keywords&gt;&lt;Keywords&gt;Humans&lt;/Keywords&gt;&lt;Keywords&gt;Im&lt;/Keywords&gt;&lt;Keywords&gt;Is&lt;/Keywords&gt;&lt;Keywords&gt;Logistic Models&lt;/Keywords&gt;&lt;Keywords&gt;Male&lt;/Keywords&gt;&lt;Keywords&gt;Nutrient&lt;/Keywords&gt;&lt;Keywords&gt;Nutrition&lt;/Keywords&gt;&lt;Keywords&gt;Nutrition Policy&lt;/Keywords&gt;&lt;Keywords&gt;Nutritional Requirements&lt;/Keywords&gt;&lt;Keywords&gt;questionnaire&lt;/Keywords&gt;&lt;Keywords&gt;Questionnaires&lt;/Keywords&gt;&lt;Keywords&gt;Research&lt;/Keywords&gt;&lt;Keywords&gt;Risk&lt;/Keywords&gt;&lt;Keywords&gt;Risk Assessment&lt;/Keywords&gt;&lt;Keywords&gt;Safety&lt;/Keywords&gt;&lt;Keywords&gt;sample&lt;/Keywords&gt;&lt;Keywords&gt;Sampling Studies&lt;/Keywords&gt;&lt;Keywords&gt;Schools&lt;/Keywords&gt;&lt;Keywords&gt;standards&lt;/Keywords&gt;&lt;Keywords&gt;To&lt;/Keywords&gt;&lt;Keywords&gt;Vegetables&lt;/Keywords&gt;&lt;Reprint&gt;Not in File&lt;/Reprint&gt;&lt;Start_Page&gt;293&lt;/Start_Page&gt;&lt;End_Page&gt;301&lt;/End_Page&gt;&lt;Periodical&gt;Br.J Nutr&lt;/Periodical&gt;&lt;Volume&gt;102&lt;/Volume&gt;&lt;Issue&gt;2&lt;/Issue&gt;&lt;Address&gt;Dietary Survey Unit, Nutritional Epidemiology, Department of Risk Assessment for Nutrition and Food Safety, French Food Safety Agency (AFSSA), 27-31 Avenue du General Leclerc, 94701 Maisons-Alfort Cedex, France. c.dubuisson@afssa.fr&lt;/Address&gt;&lt;Web_URL&gt;PM:19105852&lt;/Web_URL&gt;&lt;Web_URL_Link1&gt;&lt;u&gt;file://C:\Users\darmon\Documents\Biblio_Doc\PDF et autres Doc\France\AFSSA INCA\Lafay GPEMDA BJN 2009.pdf&lt;/u&gt;&lt;/Web_URL_Link1&gt;&lt;ZZ_JournalStdAbbrev&gt;&lt;f name="System"&gt;Br.J Nutr&lt;/f&gt;&lt;/ZZ_JournalStdAbbrev&gt;&lt;ZZ_WorkformID&gt;1&lt;/ZZ_WorkformID&gt;&lt;/MDL&gt;&lt;/Cite&gt;&lt;Cite&gt;&lt;Author&gt;Bertin&lt;/Author&gt;&lt;Year&gt;2011&lt;/Year&gt;&lt;RecNum&gt;4203&lt;/RecNum&gt;&lt;IDText&gt;[Schools meals in French secondary state schools: compliance to national recommendations and schools catering patterns]&lt;/IDText&gt;&lt;MDL Ref_Type="Journal"&gt;&lt;Ref_Type&gt;Journal&lt;/Ref_Type&gt;&lt;Ref_ID&gt;4203&lt;/Ref_ID&gt;&lt;Title_Primary&gt;[Schools meals in French secondary state schools: compliance to national recommendations and schools catering patterns]&lt;/Title_Primary&gt;&lt;Authors_Primary&gt;Bertin,M.&lt;/Authors_Primary&gt;&lt;Authors_Primary&gt;Lafay,L.&lt;/Authors_Primary&gt;&lt;Authors_Primary&gt;Calamassi-Tran,G.&lt;/Authors_Primary&gt;&lt;Authors_Primary&gt;Volatier,J.L.&lt;/Authors_Primary&gt;&lt;Authors_Primary&gt;Dubuisson,C.&lt;/Authors_Primary&gt;&lt;Date_Primary&gt;2011/2&lt;/Date_Primary&gt;&lt;Keywords&gt;Agriculture&lt;/Keywords&gt;&lt;Keywords&gt;Cheese&lt;/Keywords&gt;&lt;Keywords&gt;Cross-Sectional Studies&lt;/Keywords&gt;&lt;Keywords&gt;Dairy Products&lt;/Keywords&gt;&lt;Keywords&gt;De&lt;/Keywords&gt;&lt;Keywords&gt;DIETARY&lt;/Keywords&gt;&lt;Keywords&gt;Du&lt;/Keywords&gt;&lt;Keywords&gt;Education&lt;/Keywords&gt;&lt;Keywords&gt;English Abstract&lt;/Keywords&gt;&lt;Keywords&gt;Et&lt;/Keywords&gt;&lt;Keywords&gt;Fat&lt;/Keywords&gt;&lt;Keywords&gt;Food&lt;/Keywords&gt;&lt;Keywords&gt;Food Services&lt;/Keywords&gt;&lt;Keywords&gt;Food Supply&lt;/Keywords&gt;&lt;Keywords&gt;France&lt;/Keywords&gt;&lt;Keywords&gt;Fruit&lt;/Keywords&gt;&lt;Keywords&gt;Guidelines&lt;/Keywords&gt;&lt;Keywords&gt;Humans&lt;/Keywords&gt;&lt;Keywords&gt;Im&lt;/Keywords&gt;&lt;Keywords&gt;Is&lt;/Keywords&gt;&lt;Keywords&gt;Knowledge&lt;/Keywords&gt;&lt;Keywords&gt;level&lt;/Keywords&gt;&lt;Keywords&gt;methods&lt;/Keywords&gt;&lt;Keywords&gt;Nutrition Policy&lt;/Keywords&gt;&lt;Keywords&gt;Safety&lt;/Keywords&gt;&lt;Keywords&gt;Schools&lt;/Keywords&gt;&lt;Keywords&gt;To&lt;/Keywords&gt;&lt;Reprint&gt;Not in File&lt;/Reprint&gt;&lt;Start_Page&gt;33&lt;/Start_Page&gt;&lt;End_Page&gt;44&lt;/End_Page&gt;&lt;Periodical&gt;Rev.Epidemiol.Sante Publique&lt;/Periodical&gt;&lt;Volume&gt;59&lt;/Volume&gt;&lt;Issue&gt;1&lt;/Issue&gt;&lt;Address&gt;Unite observatoire des consommations alimentaires-epidemiologie nutritionnelle, Agence nationale de securite sanitaire de l&amp;apos;alimentation, de l&amp;apos;environnement et du travail, 27-31, avenue du General-Leclerc, 94701 Maisons-Alfort cedex, France. melanie.bertin@anses.fr&lt;/Address&gt;&lt;Web_URL&gt;PM:21257277&lt;/Web_URL&gt;&lt;Web_URL_Link1&gt;&lt;u&gt;file://C:\Users\darmon\Documents\Biblio_Doc\PDF et autres Doc\France\AFSSA INCA\GEMRCN suivi Rev Epidemiol Sant Pub 2011.pdf&lt;/u&gt;&lt;/Web_URL_Link1&gt;&lt;ZZ_JournalStdAbbrev&gt;&lt;f name="System"&gt;Rev.Epidemiol.Sante Publique&lt;/f&gt;&lt;/ZZ_JournalStdAbbrev&gt;&lt;ZZ_WorkformID&gt;1&lt;/ZZ_WorkformID&gt;&lt;/MDL&gt;&lt;/Cite&gt;&lt;/Refman&gt;</w:instrText>
      </w:r>
      <w:r w:rsidR="00FF17D2">
        <w:fldChar w:fldCharType="separate"/>
      </w:r>
      <w:r w:rsidR="006C5B2D">
        <w:t>[14,15]</w:t>
      </w:r>
      <w:r w:rsidR="00FF17D2">
        <w:fldChar w:fldCharType="end"/>
      </w:r>
      <w:r w:rsidRPr="00D836A2">
        <w:t xml:space="preserve">. In addition, quantification of the nutritional impact of these </w:t>
      </w:r>
      <w:r w:rsidR="005E214A" w:rsidRPr="00D836A2">
        <w:t xml:space="preserve">guidelines </w:t>
      </w:r>
      <w:r w:rsidRPr="00D836A2">
        <w:t xml:space="preserve">remains limited </w:t>
      </w:r>
      <w:r w:rsidR="00FF17D2">
        <w:fldChar w:fldCharType="begin"/>
      </w:r>
      <w:r w:rsidR="006C5B2D">
        <w:instrText xml:space="preserve"> ADDIN REFMGR.CITE &lt;Refman&gt;&lt;Cite&gt;&lt;Author&gt;Bertin&lt;/Author&gt;&lt;Year&gt;2011&lt;/Year&gt;&lt;RecNum&gt;4203&lt;/RecNum&gt;&lt;IDText&gt;[Schools meals in French secondary state schools: compliance to national recommendations and schools catering patterns]&lt;/IDText&gt;&lt;MDL Ref_Type="Journal"&gt;&lt;Ref_Type&gt;Journal&lt;/Ref_Type&gt;&lt;Ref_ID&gt;4203&lt;/Ref_ID&gt;&lt;Title_Primary&gt;[Schools meals in French secondary state schools: compliance to national recommendations and schools catering patterns]&lt;/Title_Primary&gt;&lt;Authors_Primary&gt;Bertin,M.&lt;/Authors_Primary&gt;&lt;Authors_Primary&gt;Lafay,L.&lt;/Authors_Primary&gt;&lt;Authors_Primary&gt;Calamassi-Tran,G.&lt;/Authors_Primary&gt;&lt;Authors_Primary&gt;Volatier,J.L.&lt;/Authors_Primary&gt;&lt;Authors_Primary&gt;Dubuisson,C.&lt;/Authors_Primary&gt;&lt;Date_Primary&gt;2011/2&lt;/Date_Primary&gt;&lt;Keywords&gt;Agriculture&lt;/Keywords&gt;&lt;Keywords&gt;Cheese&lt;/Keywords&gt;&lt;Keywords&gt;Cross-Sectional Studies&lt;/Keywords&gt;&lt;Keywords&gt;Dairy Products&lt;/Keywords&gt;&lt;Keywords&gt;De&lt;/Keywords&gt;&lt;Keywords&gt;DIETARY&lt;/Keywords&gt;&lt;Keywords&gt;Du&lt;/Keywords&gt;&lt;Keywords&gt;Education&lt;/Keywords&gt;&lt;Keywords&gt;English Abstract&lt;/Keywords&gt;&lt;Keywords&gt;Et&lt;/Keywords&gt;&lt;Keywords&gt;Fat&lt;/Keywords&gt;&lt;Keywords&gt;Food&lt;/Keywords&gt;&lt;Keywords&gt;Food Services&lt;/Keywords&gt;&lt;Keywords&gt;Food Supply&lt;/Keywords&gt;&lt;Keywords&gt;France&lt;/Keywords&gt;&lt;Keywords&gt;Fruit&lt;/Keywords&gt;&lt;Keywords&gt;Guidelines&lt;/Keywords&gt;&lt;Keywords&gt;Humans&lt;/Keywords&gt;&lt;Keywords&gt;Im&lt;/Keywords&gt;&lt;Keywords&gt;Is&lt;/Keywords&gt;&lt;Keywords&gt;Knowledge&lt;/Keywords&gt;&lt;Keywords&gt;level&lt;/Keywords&gt;&lt;Keywords&gt;methods&lt;/Keywords&gt;&lt;Keywords&gt;Nutrition Policy&lt;/Keywords&gt;&lt;Keywords&gt;Safety&lt;/Keywords&gt;&lt;Keywords&gt;Schools&lt;/Keywords&gt;&lt;Keywords&gt;To&lt;/Keywords&gt;&lt;Reprint&gt;Not in File&lt;/Reprint&gt;&lt;Start_Page&gt;33&lt;/Start_Page&gt;&lt;End_Page&gt;44&lt;/End_Page&gt;&lt;Periodical&gt;Rev.Epidemiol.Sante Publique&lt;/Periodical&gt;&lt;Volume&gt;59&lt;/Volume&gt;&lt;Issue&gt;1&lt;/Issue&gt;&lt;Address&gt;Unite observatoire des consommations alimentaires-epidemiologie nutritionnelle, Agence nationale de securite sanitaire de l&amp;apos;alimentation, de l&amp;apos;environnement et du travail, 27-31, avenue du General-Leclerc, 94701 Maisons-Alfort cedex, France. melanie.bertin@anses.fr&lt;/Address&gt;&lt;Web_URL&gt;PM:21257277&lt;/Web_URL&gt;&lt;Web_URL_Link1&gt;&lt;u&gt;file://C:\Users\darmon\Documents\Biblio_Doc\PDF et autres Doc\France\AFSSA INCA\GEMRCN suivi Rev Epidemiol Sant Pub 2011.pdf&lt;/u&gt;&lt;/Web_URL_Link1&gt;&lt;ZZ_JournalStdAbbrev&gt;&lt;f name="System"&gt;Rev.Epidemiol.Sante Publique&lt;/f&gt;&lt;/ZZ_JournalStdAbbrev&gt;&lt;ZZ_WorkformID&gt;1&lt;/ZZ_WorkformID&gt;&lt;/MDL&gt;&lt;/Cite&gt;&lt;/Refman&gt;</w:instrText>
      </w:r>
      <w:r w:rsidR="00FF17D2">
        <w:fldChar w:fldCharType="separate"/>
      </w:r>
      <w:r w:rsidR="006C5B2D">
        <w:t>[15]</w:t>
      </w:r>
      <w:r w:rsidR="00FF17D2">
        <w:fldChar w:fldCharType="end"/>
      </w:r>
      <w:r w:rsidRPr="00D836A2">
        <w:t>, which may weaken application.</w:t>
      </w:r>
    </w:p>
    <w:p w:rsidR="005B16D7" w:rsidRPr="00D836A2" w:rsidRDefault="000C329F" w:rsidP="005D10D8">
      <w:pPr>
        <w:pStyle w:val="MDPI31text"/>
      </w:pPr>
      <w:r w:rsidRPr="00D836A2">
        <w:t xml:space="preserve">In addition to nutritional goals, school food is also subject to other expectations such as taste education, respect for food traditions and habits, support of local agriculture, the fight against waste, and environmental protection </w:t>
      </w:r>
      <w:r w:rsidR="00FF17D2">
        <w:fldChar w:fldCharType="begin"/>
      </w:r>
      <w:r w:rsidR="006C5B2D">
        <w:instrText xml:space="preserve"> ADDIN REFMGR.CITE &lt;Refman&gt;&lt;Cite&gt;&lt;Author&gt;FAO&lt;/Author&gt;&lt;Year&gt;2017&lt;/Year&gt;&lt;RecNum&gt;5058&lt;/RecNum&gt;&lt;IDText&gt;Nutrition-sensitive agriculture and food systems in practice Options for intervention&lt;/IDText&gt;&lt;MDL Ref_Type="Journal"&gt;&lt;Ref_Type&gt;Journal&lt;/Ref_Type&gt;&lt;Ref_ID&gt;5058&lt;/Ref_ID&gt;&lt;Title_Primary&gt;&lt;f name="Calibri"&gt;&lt;b&gt;Nutrition-sensitive agriculture and food systems in practice Options for intervention&lt;/b&gt;&lt;/f&gt;&lt;/Title_Primary&gt;&lt;Authors_Primary&gt;FAO&lt;/Authors_Primary&gt;&lt;Date_Primary&gt;2017&lt;/Date_Primary&gt;&lt;Keywords&gt;Agriculture&lt;/Keywords&gt;&lt;Keywords&gt;Food&lt;/Keywords&gt;&lt;Keywords&gt;United Nations&lt;/Keywords&gt;&lt;Reprint&gt;Not in File&lt;/Reprint&gt;&lt;Periodical&gt;Food and Agriculture Organization of the United Nations Rome, 2017&lt;/Periodical&gt;&lt;Web_URL&gt;&lt;u&gt;http://www.fao.org/3/a-i6983e.pdf&lt;/u&gt;&lt;/Web_URL&gt;&lt;Web_URL_Link1&gt;&lt;u&gt;file://C:\Users\Darmon\Documents\Biblio_Doc\PDF et autres Doc\Recommandations\FAO Nutrition-sensitive agriculture and food systems in practice Options for intervention 2017.pdf&lt;/u&gt;&lt;/Web_URL_Link1&gt;&lt;ZZ_JournalFull&gt;&lt;f name="System"&gt;Food and Agriculture Organization of the United Nations Rome, 2017&lt;/f&gt;&lt;/ZZ_JournalFull&gt;&lt;ZZ_WorkformID&gt;1&lt;/ZZ_WorkformID&gt;&lt;/MDL&gt;&lt;/Cite&gt;&lt;/Refman&gt;</w:instrText>
      </w:r>
      <w:r w:rsidR="00FF17D2">
        <w:fldChar w:fldCharType="separate"/>
      </w:r>
      <w:r w:rsidR="006C5B2D">
        <w:t>[16]</w:t>
      </w:r>
      <w:r w:rsidR="00FF17D2">
        <w:fldChar w:fldCharType="end"/>
      </w:r>
      <w:r w:rsidRPr="00D836A2">
        <w:t>. Protein dishes in particular are the subject of multiple considerations. The meat/egg/fish food group is a privileged source of many essential nutrients in the French diet</w:t>
      </w:r>
      <w:r w:rsidR="00BA0483" w:rsidRPr="00D836A2">
        <w:t xml:space="preserve">, </w:t>
      </w:r>
      <w:r w:rsidRPr="00D836A2">
        <w:t xml:space="preserve">and the French </w:t>
      </w:r>
      <w:r w:rsidR="00D836A2" w:rsidRPr="00D836A2">
        <w:t xml:space="preserve">spend </w:t>
      </w:r>
      <w:r w:rsidRPr="00D836A2">
        <w:t xml:space="preserve">more than one quarter of their food budgets </w:t>
      </w:r>
      <w:r w:rsidR="00D836A2" w:rsidRPr="00D836A2">
        <w:t xml:space="preserve">on </w:t>
      </w:r>
      <w:r w:rsidRPr="00D836A2">
        <w:t>it</w:t>
      </w:r>
      <w:r w:rsidR="00BA0483" w:rsidRPr="00D836A2">
        <w:t xml:space="preserve"> </w:t>
      </w:r>
      <w:r w:rsidR="00FF17D2">
        <w:fldChar w:fldCharType="begin"/>
      </w:r>
      <w:r w:rsidR="006C5B2D">
        <w:instrText xml:space="preserve"> ADDIN REFMGR.CITE &lt;Refman&gt;&lt;Cite&gt;&lt;Author&gt;Maillot&lt;/Author&gt;&lt;Year&gt;2007&lt;/Year&gt;&lt;RecNum&gt;3273&lt;/RecNum&gt;&lt;IDText&gt;Nutrient-Dense Food Groups Have High Energy Costs: An Econometric Approach to Nutrient Profiling&lt;/IDText&gt;&lt;MDL Ref_Type="Journal"&gt;&lt;Ref_Type&gt;Journal&lt;/Ref_Type&gt;&lt;Ref_ID&gt;3273&lt;/Ref_ID&gt;&lt;Title_Primary&gt;Nutrient-Dense Food Groups Have High Energy Costs: An Econometric Approach to Nutrient Profiling&lt;/Title_Primary&gt;&lt;Authors_Primary&gt;Maillot,M.&lt;/Authors_Primary&gt;&lt;Authors_Primary&gt;Darmon,N.&lt;/Authors_Primary&gt;&lt;Authors_Primary&gt;Darmon,M.&lt;/Authors_Primary&gt;&lt;Authors_Primary&gt;Lafay,L.&lt;/Authors_Primary&gt;&lt;Authors_Primary&gt;Drewnowski,A.&lt;/Authors_Primary&gt;&lt;Date_Primary&gt;2007/7&lt;/Date_Primary&gt;&lt;Keywords&gt;Adult&lt;/Keywords&gt;&lt;Keywords&gt;An&lt;/Keywords&gt;&lt;Keywords&gt;cost&lt;/Keywords&gt;&lt;Keywords&gt;De&lt;/Keywords&gt;&lt;Keywords&gt;Diet&lt;/Keywords&gt;&lt;Keywords&gt;DIETARY&lt;/Keywords&gt;&lt;Keywords&gt;Energy&lt;/Keywords&gt;&lt;Keywords&gt;Et&lt;/Keywords&gt;&lt;Keywords&gt;Fatty Acids&lt;/Keywords&gt;&lt;Keywords&gt;Food&lt;/Keywords&gt;&lt;Keywords&gt;France&lt;/Keywords&gt;&lt;Keywords&gt;Fruit&lt;/Keywords&gt;&lt;Keywords&gt;Guidelines&lt;/Keywords&gt;&lt;Keywords&gt;health&lt;/Keywords&gt;&lt;Keywords&gt;Is&lt;/Keywords&gt;&lt;Keywords&gt;Meat&lt;/Keywords&gt;&lt;Keywords&gt;Nutrient&lt;/Keywords&gt;&lt;Keywords&gt;Program&lt;/Keywords&gt;&lt;Keywords&gt;Public Health&lt;/Keywords&gt;&lt;Keywords&gt;Sodium&lt;/Keywords&gt;&lt;Keywords&gt;To&lt;/Keywords&gt;&lt;Keywords&gt;Universities&lt;/Keywords&gt;&lt;Keywords&gt;Vegetables&lt;/Keywords&gt;&lt;Keywords&gt;Washington&lt;/Keywords&gt;&lt;Reprint&gt;Not in File&lt;/Reprint&gt;&lt;Start_Page&gt;1815&lt;/Start_Page&gt;&lt;End_Page&gt;1820&lt;/End_Page&gt;&lt;Periodical&gt;J Nutr&lt;/Periodical&gt;&lt;Volume&gt;137&lt;/Volume&gt;&lt;Issue&gt;7&lt;/Issue&gt;&lt;Address&gt;INSERM, U476 &amp;quot;Nutrition Humaine et Lipides&amp;quot;, Marseille, F-13385 France; 4INRA, UMR1260, Marseille, F-13385 France; 5Univ Mediterranee Aix-Marseille 2, Faculte de Medecine, IPHM, Marseille, F-13385 France; 6University of Bordeaux-2, Biochemistry and Molecular Biology Laboratory, 33076 Bordeaux, F-33076 France; 7Agence Francaise de Securite Sanitaire des Aliments (AFSSA), Maisons-Alfort, F-94700 France 8Nutritional Sciences Program, School of Public Health and Community Medicine, University of Washington, Seattle, WA 98195-3410&lt;/Address&gt;&lt;Web_URL&gt;PM:17585036&lt;/Web_URL&gt;&lt;ZZ_JournalStdAbbrev&gt;&lt;f name="System"&gt;J Nutr&lt;/f&gt;&lt;/ZZ_JournalStdAbbrev&gt;&lt;ZZ_WorkformID&gt;1&lt;/ZZ_WorkformID&gt;&lt;/MDL&gt;&lt;/Cite&gt;&lt;/Refman&gt;</w:instrText>
      </w:r>
      <w:r w:rsidR="00FF17D2">
        <w:fldChar w:fldCharType="separate"/>
      </w:r>
      <w:r w:rsidR="006C5B2D">
        <w:t>[17]</w:t>
      </w:r>
      <w:r w:rsidR="00FF17D2">
        <w:fldChar w:fldCharType="end"/>
      </w:r>
      <w:r w:rsidRPr="00D836A2">
        <w:t>. These nutritional and economic specificities—which prevail in the same manner for protein dish</w:t>
      </w:r>
      <w:r w:rsidR="00BA0483" w:rsidRPr="00D836A2">
        <w:t>es</w:t>
      </w:r>
      <w:r w:rsidRPr="00D836A2">
        <w:t xml:space="preserve"> in public catering—are complicated by environmental concerns </w:t>
      </w:r>
      <w:r w:rsidR="00FF17D2">
        <w:fldChar w:fldCharType="begin"/>
      </w:r>
      <w:r w:rsidR="006C5B2D">
        <w:instrText xml:space="preserve"> ADDIN REFMGR.CITE &lt;Refman&gt;&lt;Cite&gt;&lt;Author&gt;Masset&lt;/Author&gt;&lt;Year&gt;2014&lt;/Year&gt;&lt;RecNum&gt;4811&lt;/RecNum&gt;&lt;IDText&gt;Identifying sustainable foods: the relationship between environmental impact, nutritional quality, and prices of foods representative of the French diet&lt;/IDText&gt;&lt;MDL Ref_Type="Journal"&gt;&lt;Ref_Type&gt;Journal&lt;/Ref_Type&gt;&lt;Ref_ID&gt;4811&lt;/Ref_ID&gt;&lt;Title_Primary&gt;Identifying sustainable foods: the relationship between environmental impact, nutritional quality, and prices of foods representative of the French diet&lt;/Title_Primary&gt;&lt;Authors_Primary&gt;Masset,G.&lt;/Authors_Primary&gt;&lt;Authors_Primary&gt;Soler,L.G.&lt;/Authors_Primary&gt;&lt;Authors_Primary&gt;Vieux,F.&lt;/Authors_Primary&gt;&lt;Authors_Primary&gt;Darmon,N.&lt;/Authors_Primary&gt;&lt;Date_Primary&gt;2014/6&lt;/Date_Primary&gt;&lt;Keywords&gt;Adult&lt;/Keywords&gt;&lt;Keywords&gt;Agriculture&lt;/Keywords&gt;&lt;Keywords&gt;analysis&lt;/Keywords&gt;&lt;Keywords&gt;Animal&lt;/Keywords&gt;&lt;Keywords&gt;Animal Husbandry&lt;/Keywords&gt;&lt;Keywords&gt;Animals&lt;/Keywords&gt;&lt;Keywords&gt;Aquaculture&lt;/Keywords&gt;&lt;Keywords&gt;chemistry&lt;/Keywords&gt;&lt;Keywords&gt;Comparative Study&lt;/Keywords&gt;&lt;Keywords&gt;Conservation of Natural Resources&lt;/Keywords&gt;&lt;Keywords&gt;consumption&lt;/Keywords&gt;&lt;Keywords&gt;Crops,Agricultural&lt;/Keywords&gt;&lt;Keywords&gt;Cross-Sectional Studies&lt;/Keywords&gt;&lt;Keywords&gt;Dairy Products&lt;/Keywords&gt;&lt;Keywords&gt;Diet&lt;/Keywords&gt;&lt;Keywords&gt;Diet Surveys&lt;/Keywords&gt;&lt;Keywords&gt;Ecological and Environmental Processes&lt;/Keywords&gt;&lt;Keywords&gt;economics&lt;/Keywords&gt;&lt;Keywords&gt;Eggs&lt;/Keywords&gt;&lt;Keywords&gt;Environment&lt;/Keywords&gt;&lt;Keywords&gt;Environmental Pollution&lt;/Keywords&gt;&lt;Keywords&gt;Female&lt;/Keywords&gt;&lt;Keywords&gt;Food&lt;/Keywords&gt;&lt;Keywords&gt;Food Supply&lt;/Keywords&gt;&lt;Keywords&gt;France&lt;/Keywords&gt;&lt;Keywords&gt;Fruit&lt;/Keywords&gt;&lt;Keywords&gt;Functional Food&lt;/Keywords&gt;&lt;Keywords&gt;growth &amp;amp; development&lt;/Keywords&gt;&lt;Keywords&gt;Health Promotion&lt;/Keywords&gt;&lt;Keywords&gt;Humans&lt;/Keywords&gt;&lt;Keywords&gt;Im&lt;/Keywords&gt;&lt;Keywords&gt;Indicators&lt;/Keywords&gt;&lt;Keywords&gt;Is&lt;/Keywords&gt;&lt;Keywords&gt;Legumes&lt;/Keywords&gt;&lt;Keywords&gt;level&lt;/Keywords&gt;&lt;Keywords&gt;Male&lt;/Keywords&gt;&lt;Keywords&gt;Meat&lt;/Keywords&gt;&lt;Keywords&gt;methods&lt;/Keywords&gt;&lt;Keywords&gt;Milk&lt;/Keywords&gt;&lt;Keywords&gt;Nutrient&lt;/Keywords&gt;&lt;Keywords&gt;Nutrition&lt;/Keywords&gt;&lt;Keywords&gt;Nutrition Policy&lt;/Keywords&gt;&lt;Keywords&gt;Nutritive Value&lt;/Keywords&gt;&lt;Keywords&gt;prevention &amp;amp; control&lt;/Keywords&gt;&lt;Keywords&gt;Research&lt;/Keywords&gt;&lt;Keywords&gt;standards&lt;/Keywords&gt;&lt;Keywords&gt;To&lt;/Keywords&gt;&lt;Keywords&gt;United Nations&lt;/Keywords&gt;&lt;Keywords&gt;Vegetables&lt;/Keywords&gt;&lt;Keywords&gt;Yogurt&lt;/Keywords&gt;&lt;Reprint&gt;Not in File&lt;/Reprint&gt;&lt;Start_Page&gt;862&lt;/Start_Page&gt;&lt;End_Page&gt;869&lt;/End_Page&gt;&lt;Periodical&gt;J Acad.Nutr Diet&lt;/Periodical&gt;&lt;Volume&gt;114&lt;/Volume&gt;&lt;Issue&gt;6&lt;/Issue&gt;&lt;Web_URL&gt;PM:24703928&lt;/Web_URL&gt;&lt;ZZ_JournalStdAbbrev&gt;&lt;f name="System"&gt;J Acad.Nutr Diet&lt;/f&gt;&lt;/ZZ_JournalStdAbbrev&gt;&lt;ZZ_WorkformID&gt;1&lt;/ZZ_WorkformID&gt;&lt;/MDL&gt;&lt;/Cite&gt;&lt;Cite&gt;&lt;Author&gt;Tilman&lt;/Author&gt;&lt;Year&gt;2014&lt;/Year&gt;&lt;RecNum&gt;4823&lt;/RecNum&gt;&lt;IDText&gt;Global diets link environmental sustainability and human health&lt;/IDText&gt;&lt;MDL Ref_Type="Journal"&gt;&lt;Ref_Type&gt;Journal&lt;/Ref_Type&gt;&lt;Ref_ID&gt;4823&lt;/Ref_ID&gt;&lt;Title_Primary&gt;Global diets link environmental sustainability and human health&lt;/Title_Primary&gt;&lt;Authors_Primary&gt;Tilman,D.&lt;/Authors_Primary&gt;&lt;Authors_Primary&gt;Clark,M.&lt;/Authors_Primary&gt;&lt;Date_Primary&gt;2014/11/27&lt;/Date_Primary&gt;&lt;Keywords&gt;An&lt;/Keywords&gt;&lt;Keywords&gt;Behavior&lt;/Keywords&gt;&lt;Keywords&gt;California&lt;/Keywords&gt;&lt;Keywords&gt;Diet&lt;/Keywords&gt;&lt;Keywords&gt;DIETARY&lt;/Keywords&gt;&lt;Keywords&gt;disease&lt;/Keywords&gt;&lt;Keywords&gt;Diseases&lt;/Keywords&gt;&lt;Keywords&gt;Ecology&lt;/Keywords&gt;&lt;Keywords&gt;Evolution&lt;/Keywords&gt;&lt;Keywords&gt;Fat&lt;/Keywords&gt;&lt;Keywords&gt;Fats&lt;/Keywords&gt;&lt;Keywords&gt;Food&lt;/Keywords&gt;&lt;Keywords&gt;health&lt;/Keywords&gt;&lt;Keywords&gt;Human&lt;/Keywords&gt;&lt;Keywords&gt;Im&lt;/Keywords&gt;&lt;Keywords&gt;Incidence&lt;/Keywords&gt;&lt;Keywords&gt;Income&lt;/Keywords&gt;&lt;Keywords&gt;Is&lt;/Keywords&gt;&lt;Keywords&gt;Life Expectancy&lt;/Keywords&gt;&lt;Keywords&gt;Meat&lt;/Keywords&gt;&lt;Keywords&gt;Minnesota&lt;/Keywords&gt;&lt;Keywords&gt;Oils&lt;/Keywords&gt;&lt;Keywords&gt;Public Health&lt;/Keywords&gt;&lt;Keywords&gt;Research&lt;/Keywords&gt;&lt;Keywords&gt;Science&lt;/Keywords&gt;&lt;Keywords&gt;St&lt;/Keywords&gt;&lt;Keywords&gt;To&lt;/Keywords&gt;&lt;Keywords&gt;trends&lt;/Keywords&gt;&lt;Keywords&gt;Universities&lt;/Keywords&gt;&lt;Keywords&gt;Urbanization&lt;/Keywords&gt;&lt;Reprint&gt;Not in File&lt;/Reprint&gt;&lt;Start_Page&gt;518&lt;/Start_Page&gt;&lt;End_Page&gt;522&lt;/End_Page&gt;&lt;Periodical&gt;Nature&lt;/Periodical&gt;&lt;Volume&gt;515&lt;/Volume&gt;&lt;Issue&gt;7528&lt;/Issue&gt;&lt;Address&gt;1] Department of Ecology, Evolution and Behavior, University of Minnesota, St Paul, Minnesota 55108, USA [2] Bren School of Environmental Science and Management, University of California Santa Barbara, California 93106, USA&amp;#xA;Department of Ecology, Evolution and Behavior, University of Minnesota, St Paul, Minnesota 55108, USA&lt;/Address&gt;&lt;Web_URL&gt;PM:25383533&lt;/Web_URL&gt;&lt;Web_URL_Link1&gt;&lt;u&gt;file://C:\Users\darmon\Documents\Projets_ANR\OCAD\Biblio Environnement\Tilman_2014_nature13959_GlobalDiets-GHGE-Health.pdf&lt;/u&gt;&lt;/Web_URL_Link1&gt;&lt;ZZ_JournalStdAbbrev&gt;&lt;f name="System"&gt;Nature&lt;/f&gt;&lt;/ZZ_JournalStdAbbrev&gt;&lt;ZZ_WorkformID&gt;1&lt;/ZZ_WorkformID&gt;&lt;/MDL&gt;&lt;/Cite&gt;&lt;/Refman&gt;</w:instrText>
      </w:r>
      <w:r w:rsidR="00FF17D2">
        <w:fldChar w:fldCharType="separate"/>
      </w:r>
      <w:r w:rsidR="006C5B2D">
        <w:t>[18,19]</w:t>
      </w:r>
      <w:r w:rsidR="00FF17D2">
        <w:fldChar w:fldCharType="end"/>
      </w:r>
      <w:r w:rsidRPr="00D836A2">
        <w:t xml:space="preserve">. Indeed, according to a report by the </w:t>
      </w:r>
      <w:r w:rsidR="00641B12" w:rsidRPr="00641B12">
        <w:rPr>
          <w:i/>
        </w:rPr>
        <w:t>Agence de l’Environnement et de la Maîtrise de l’Énergie</w:t>
      </w:r>
      <w:r w:rsidRPr="00D836A2">
        <w:t xml:space="preserve"> (ADEME [environment and energy control agency]), </w:t>
      </w:r>
      <w:r w:rsidR="00FA09F5" w:rsidRPr="00D836A2">
        <w:t xml:space="preserve">meat and fish </w:t>
      </w:r>
      <w:r w:rsidR="001B4254" w:rsidRPr="00D836A2">
        <w:t xml:space="preserve">make up </w:t>
      </w:r>
      <w:r w:rsidRPr="00D836A2">
        <w:t xml:space="preserve">21% of food loss and waste in public catering (schools, healthcare and companies) in France, </w:t>
      </w:r>
      <w:r w:rsidR="00971E75">
        <w:t>while accounting</w:t>
      </w:r>
      <w:r w:rsidR="00D836A2" w:rsidRPr="00D836A2">
        <w:t xml:space="preserve"> for</w:t>
      </w:r>
      <w:r w:rsidR="00BA0483" w:rsidRPr="00D836A2">
        <w:t xml:space="preserve"> </w:t>
      </w:r>
      <w:r w:rsidRPr="00D836A2">
        <w:t xml:space="preserve">46% of costs and 77% of greenhouse gas emissions generated by these losses </w:t>
      </w:r>
      <w:r w:rsidR="00FF17D2">
        <w:fldChar w:fldCharType="begin"/>
      </w:r>
      <w:r w:rsidR="006C5B2D">
        <w:instrText xml:space="preserve"> ADDIN REFMGR.CITE &lt;Refman&gt;&lt;Cite&gt;&lt;Author&gt;Agence de l&amp;apos;environnement et la ma&amp;#xEE;trise de l&amp;apos;&amp;#xE9;nergie (ADEME)&lt;/Author&gt;&lt;Year&gt;2016&lt;/Year&gt;&lt;RecNum&gt;5120&lt;/RecNum&gt;&lt;IDText&gt;Approche du co&amp;#xFB;t complet des pertes et gaspillage alimentaire en restauration collective&lt;/IDText&gt;&lt;MDL Ref_Type="Journal"&gt;&lt;Ref_Type&gt;Journal&lt;/Ref_Type&gt;&lt;Ref_ID&gt;5120&lt;/Ref_ID&gt;&lt;Title_Primary&gt;Approche du co&amp;#xFB;t complet des pertes et gaspillage alimentaire en restauration collective&lt;/Title_Primary&gt;&lt;Authors_Primary&gt;Agence de l&amp;apos;environnement et la ma&amp;#xEE;trise de l&amp;apos;&amp;#xE9;nergie (ADEME)&lt;/Authors_Primary&gt;&lt;Date_Primary&gt;2016&lt;/Date_Primary&gt;&lt;Keywords&gt;Du&lt;/Keywords&gt;&lt;Keywords&gt;De&lt;/Keywords&gt;&lt;Keywords&gt;Et&lt;/Keywords&gt;&lt;Keywords&gt;en&lt;/Keywords&gt;&lt;Reprint&gt;Not in File&lt;/Reprint&gt;&lt;Periodical&gt;Rapport d&amp;apos;&amp;#xE9;tude&lt;/Periodical&gt;&lt;Volume&gt;Etude r&amp;#xE9;alis&amp;#xE9;e pour le compte de l&amp;apos;ADEME par VerdiCit&amp;#xE9; et ClimatMundi&lt;/Volume&gt;&lt;Web_URL&gt;&lt;u&gt;http://www.rhone-alpes.ademe.fr/sites/default/files/files/actualites/a_laune/cout-complet-pertes-gaspillage-restauration-collective-rapport.pdf&lt;/u&gt;&lt;/Web_URL&gt;&lt;ZZ_JournalFull&gt;&lt;f name="System"&gt;Rapport d&amp;apos;&amp;#xE9;tude&lt;/f&gt;&lt;/ZZ_JournalFull&gt;&lt;ZZ_WorkformID&gt;1&lt;/ZZ_WorkformID&gt;&lt;/MDL&gt;&lt;/Cite&gt;&lt;/Refman&gt;</w:instrText>
      </w:r>
      <w:r w:rsidR="00FF17D2">
        <w:fldChar w:fldCharType="separate"/>
      </w:r>
      <w:r w:rsidR="006C5B2D">
        <w:t>[20]</w:t>
      </w:r>
      <w:r w:rsidR="00FF17D2">
        <w:fldChar w:fldCharType="end"/>
      </w:r>
      <w:r w:rsidRPr="00D836A2">
        <w:t xml:space="preserve">. </w:t>
      </w:r>
      <w:r w:rsidR="000B78B4" w:rsidRPr="00D836A2">
        <w:t xml:space="preserve">It is therefore important to look at </w:t>
      </w:r>
      <w:r w:rsidR="00BA0483" w:rsidRPr="00D836A2">
        <w:t xml:space="preserve">replacement </w:t>
      </w:r>
      <w:r w:rsidR="000B78B4" w:rsidRPr="00D836A2">
        <w:t>protein source</w:t>
      </w:r>
      <w:r w:rsidR="00BA0483" w:rsidRPr="00D836A2">
        <w:t>s</w:t>
      </w:r>
      <w:r w:rsidR="000B78B4" w:rsidRPr="00D836A2">
        <w:t xml:space="preserve"> for sustainability reasons</w:t>
      </w:r>
      <w:r w:rsidR="005B16D7" w:rsidRPr="00D836A2">
        <w:t xml:space="preserve"> </w:t>
      </w:r>
      <w:r w:rsidR="00FF17D2">
        <w:fldChar w:fldCharType="begin"/>
      </w:r>
      <w:r w:rsidR="006C5B2D">
        <w:instrText xml:space="preserve"> ADDIN REFMGR.CITE &lt;Refman&gt;&lt;Cite&gt;&lt;Author&gt;Tilman&lt;/Author&gt;&lt;Year&gt;2014&lt;/Year&gt;&lt;RecNum&gt;4823&lt;/RecNum&gt;&lt;IDText&gt;Global diets link environmental sustainability and human health&lt;/IDText&gt;&lt;MDL Ref_Type="Journal"&gt;&lt;Ref_Type&gt;Journal&lt;/Ref_Type&gt;&lt;Ref_ID&gt;4823&lt;/Ref_ID&gt;&lt;Title_Primary&gt;Global diets link environmental sustainability and human health&lt;/Title_Primary&gt;&lt;Authors_Primary&gt;Tilman,D.&lt;/Authors_Primary&gt;&lt;Authors_Primary&gt;Clark,M.&lt;/Authors_Primary&gt;&lt;Date_Primary&gt;2014/11/27&lt;/Date_Primary&gt;&lt;Keywords&gt;An&lt;/Keywords&gt;&lt;Keywords&gt;Behavior&lt;/Keywords&gt;&lt;Keywords&gt;California&lt;/Keywords&gt;&lt;Keywords&gt;Diet&lt;/Keywords&gt;&lt;Keywords&gt;DIETARY&lt;/Keywords&gt;&lt;Keywords&gt;disease&lt;/Keywords&gt;&lt;Keywords&gt;Diseases&lt;/Keywords&gt;&lt;Keywords&gt;Ecology&lt;/Keywords&gt;&lt;Keywords&gt;Evolution&lt;/Keywords&gt;&lt;Keywords&gt;Fat&lt;/Keywords&gt;&lt;Keywords&gt;Fats&lt;/Keywords&gt;&lt;Keywords&gt;Food&lt;/Keywords&gt;&lt;Keywords&gt;health&lt;/Keywords&gt;&lt;Keywords&gt;Human&lt;/Keywords&gt;&lt;Keywords&gt;Im&lt;/Keywords&gt;&lt;Keywords&gt;Incidence&lt;/Keywords&gt;&lt;Keywords&gt;Income&lt;/Keywords&gt;&lt;Keywords&gt;Is&lt;/Keywords&gt;&lt;Keywords&gt;Life Expectancy&lt;/Keywords&gt;&lt;Keywords&gt;Meat&lt;/Keywords&gt;&lt;Keywords&gt;Minnesota&lt;/Keywords&gt;&lt;Keywords&gt;Oils&lt;/Keywords&gt;&lt;Keywords&gt;Public Health&lt;/Keywords&gt;&lt;Keywords&gt;Research&lt;/Keywords&gt;&lt;Keywords&gt;Science&lt;/Keywords&gt;&lt;Keywords&gt;St&lt;/Keywords&gt;&lt;Keywords&gt;To&lt;/Keywords&gt;&lt;Keywords&gt;trends&lt;/Keywords&gt;&lt;Keywords&gt;Universities&lt;/Keywords&gt;&lt;Keywords&gt;Urbanization&lt;/Keywords&gt;&lt;Reprint&gt;Not in File&lt;/Reprint&gt;&lt;Start_Page&gt;518&lt;/Start_Page&gt;&lt;End_Page&gt;522&lt;/End_Page&gt;&lt;Periodical&gt;Nature&lt;/Periodical&gt;&lt;Volume&gt;515&lt;/Volume&gt;&lt;Issue&gt;7528&lt;/Issue&gt;&lt;Address&gt;1] Department of Ecology, Evolution and Behavior, University of Minnesota, St Paul, Minnesota 55108, USA [2] Bren School of Environmental Science and Management, University of California Santa Barbara, California 93106, USA&amp;#xA;Department of Ecology, Evolution and Behavior, University of Minnesota, St Paul, Minnesota 55108, USA&lt;/Address&gt;&lt;Web_URL&gt;PM:25383533&lt;/Web_URL&gt;&lt;Web_URL_Link1&gt;&lt;u&gt;file://C:\Users\darmon\Documents\Projets_ANR\OCAD\Biblio Environnement\Tilman_2014_nature13959_GlobalDiets-GHGE-Health.pdf&lt;/u&gt;&lt;/Web_URL_Link1&gt;&lt;ZZ_JournalStdAbbrev&gt;&lt;f name="System"&gt;Nature&lt;/f&gt;&lt;/ZZ_JournalStdAbbrev&gt;&lt;ZZ_WorkformID&gt;1&lt;/ZZ_WorkformID&gt;&lt;/MDL&gt;&lt;/Cite&gt;&lt;/Refman&gt;</w:instrText>
      </w:r>
      <w:r w:rsidR="00FF17D2">
        <w:fldChar w:fldCharType="separate"/>
      </w:r>
      <w:r w:rsidR="006C5B2D">
        <w:t>[19]</w:t>
      </w:r>
      <w:r w:rsidR="00FF17D2">
        <w:fldChar w:fldCharType="end"/>
      </w:r>
      <w:r w:rsidR="000B78B4" w:rsidRPr="00D836A2">
        <w:t>.</w:t>
      </w:r>
      <w:r w:rsidR="000B78B4" w:rsidRPr="00D836A2">
        <w:rPr>
          <w:rFonts w:ascii="Arial" w:hAnsi="Arial" w:cs="Arial"/>
          <w:szCs w:val="20"/>
          <w:lang w:eastAsia="fr-FR"/>
        </w:rPr>
        <w:t xml:space="preserve"> </w:t>
      </w:r>
      <w:r w:rsidR="005B16D7" w:rsidRPr="00D836A2">
        <w:t>P</w:t>
      </w:r>
      <w:r w:rsidRPr="00D836A2">
        <w:t>rotein dishes also raise sociocultural issues because meat and</w:t>
      </w:r>
      <w:r w:rsidR="00BA0483" w:rsidRPr="00D836A2">
        <w:t>,</w:t>
      </w:r>
      <w:r w:rsidRPr="00D836A2">
        <w:t xml:space="preserve"> to a lesser extent</w:t>
      </w:r>
      <w:r w:rsidR="00BA0483" w:rsidRPr="00D836A2">
        <w:t>,</w:t>
      </w:r>
      <w:r w:rsidRPr="00D836A2">
        <w:t xml:space="preserve"> fish are the subject of specific requests (e.g. exclusion from meal</w:t>
      </w:r>
      <w:r w:rsidR="00BA0483" w:rsidRPr="00D836A2">
        <w:t>s</w:t>
      </w:r>
      <w:r w:rsidRPr="00D836A2">
        <w:t>) by individuals and population groups that emphasize certain religious, ethic, political, psychological and ideological values, reasons and principles</w:t>
      </w:r>
      <w:r w:rsidR="005B16D7" w:rsidRPr="00D836A2">
        <w:t xml:space="preserve"> </w:t>
      </w:r>
      <w:r w:rsidR="00FF17D2">
        <w:fldChar w:fldCharType="begin"/>
      </w:r>
      <w:r w:rsidR="006C5B2D">
        <w:instrText xml:space="preserve"> ADDIN REFMGR.CITE &lt;Refman&gt;&lt;Cite&gt;&lt;Author&gt;Derbyshire&lt;/Author&gt;&lt;Year&gt;2016&lt;/Year&gt;&lt;RecNum&gt;5085&lt;/RecNum&gt;&lt;IDText&gt;Flexitarian Diets and Health: A Review of the Evidence-Based Literature&lt;/IDText&gt;&lt;MDL Ref_Type="Journal"&gt;&lt;Ref_Type&gt;Journal&lt;/Ref_Type&gt;&lt;Ref_ID&gt;5085&lt;/Ref_ID&gt;&lt;Title_Primary&gt;Flexitarian Diets and Health: A Review of the Evidence-Based Literature&lt;/Title_Primary&gt;&lt;Authors_Primary&gt;Derbyshire,E.J.&lt;/Authors_Primary&gt;&lt;Date_Primary&gt;2016&lt;/Date_Primary&gt;&lt;Keywords&gt;An&lt;/Keywords&gt;&lt;Keywords&gt;Biotechnology&lt;/Keywords&gt;&lt;Keywords&gt;blood&lt;/Keywords&gt;&lt;Keywords&gt;Blood Pressure&lt;/Keywords&gt;&lt;Keywords&gt;Body Weight&lt;/Keywords&gt;&lt;Keywords&gt;Body-Weight&lt;/Keywords&gt;&lt;Keywords&gt;Diet&lt;/Keywords&gt;&lt;Keywords&gt;disease&lt;/Keywords&gt;&lt;Keywords&gt;Diseases&lt;/Keywords&gt;&lt;Keywords&gt;Female&lt;/Keywords&gt;&lt;Keywords&gt;Females&lt;/Keywords&gt;&lt;Keywords&gt;health&lt;/Keywords&gt;&lt;Keywords&gt;Inflammatory Bowel Diseases&lt;/Keywords&gt;&lt;Keywords&gt;Is&lt;/Keywords&gt;&lt;Keywords&gt;Male&lt;/Keywords&gt;&lt;Keywords&gt;Males&lt;/Keywords&gt;&lt;Keywords&gt;Meat&lt;/Keywords&gt;&lt;Keywords&gt;Risk&lt;/Keywords&gt;&lt;Keywords&gt;To&lt;/Keywords&gt;&lt;Keywords&gt;weight&lt;/Keywords&gt;&lt;Reprint&gt;Not in File&lt;/Reprint&gt;&lt;Start_Page&gt;55&lt;/Start_Page&gt;&lt;Periodical&gt;Front Nutr&lt;/Periodical&gt;&lt;Volume&gt;3&lt;/Volume&gt;&lt;Address&gt;Nutritional Insight Ltd. , Surrey , UK&lt;/Address&gt;&lt;Web_URL&gt;PM:28111625&lt;/Web_URL&gt;&lt;Web_URL_Link1&gt;&lt;u&gt;file://C:\Users\Darmon\Documents\Projets_ANR\OCAD\Biblio Environnement\Flexitarian Diets and Health 2017.pdf&lt;/u&gt;&lt;/Web_URL_Link1&gt;&lt;ZZ_JournalStdAbbrev&gt;&lt;f name="System"&gt;Front Nutr&lt;/f&gt;&lt;/ZZ_JournalStdAbbrev&gt;&lt;ZZ_WorkformID&gt;1&lt;/ZZ_WorkformID&gt;&lt;/MDL&gt;&lt;/Cite&gt;&lt;/Refman&gt;</w:instrText>
      </w:r>
      <w:r w:rsidR="00FF17D2">
        <w:fldChar w:fldCharType="separate"/>
      </w:r>
      <w:r w:rsidR="006C5B2D">
        <w:t>[21]</w:t>
      </w:r>
      <w:r w:rsidR="00FF17D2">
        <w:fldChar w:fldCharType="end"/>
      </w:r>
      <w:r w:rsidRPr="00D836A2">
        <w:t xml:space="preserve">. </w:t>
      </w:r>
    </w:p>
    <w:p w:rsidR="005B6231" w:rsidRPr="00D836A2" w:rsidRDefault="00F623BE" w:rsidP="005D10D8">
      <w:pPr>
        <w:pStyle w:val="MDPI31text"/>
      </w:pPr>
      <w:r w:rsidRPr="00D836A2">
        <w:t>Based on meals actually served in primary schools, t</w:t>
      </w:r>
      <w:r w:rsidR="000C329F" w:rsidRPr="00D836A2">
        <w:t xml:space="preserve">he </w:t>
      </w:r>
      <w:r w:rsidRPr="00D836A2">
        <w:t xml:space="preserve">objective </w:t>
      </w:r>
      <w:r w:rsidR="000C329F" w:rsidRPr="00D836A2">
        <w:t xml:space="preserve">of the present study was to </w:t>
      </w:r>
      <w:r w:rsidRPr="00D836A2">
        <w:rPr>
          <w:lang w:eastAsia="fr-FR"/>
        </w:rPr>
        <w:t>assess, for the first time,</w:t>
      </w:r>
      <w:r w:rsidRPr="00D836A2">
        <w:t xml:space="preserve"> </w:t>
      </w:r>
      <w:r w:rsidR="00154D2A" w:rsidRPr="00D836A2">
        <w:t xml:space="preserve">the nutritional </w:t>
      </w:r>
      <w:r w:rsidR="00FA09F5" w:rsidRPr="00D836A2">
        <w:t>impact</w:t>
      </w:r>
      <w:r w:rsidR="00154D2A" w:rsidRPr="00D836A2">
        <w:t xml:space="preserve"> of complying with </w:t>
      </w:r>
      <w:r w:rsidRPr="00D836A2">
        <w:rPr>
          <w:lang w:eastAsia="fr-FR"/>
        </w:rPr>
        <w:t xml:space="preserve">French school </w:t>
      </w:r>
      <w:r w:rsidR="00BA0483" w:rsidRPr="00D836A2">
        <w:rPr>
          <w:lang w:eastAsia="fr-FR"/>
        </w:rPr>
        <w:t xml:space="preserve">food </w:t>
      </w:r>
      <w:r w:rsidRPr="00D836A2">
        <w:rPr>
          <w:lang w:eastAsia="fr-FR"/>
        </w:rPr>
        <w:t xml:space="preserve">guidelines, </w:t>
      </w:r>
      <w:r w:rsidR="00154D2A" w:rsidRPr="00D836A2">
        <w:rPr>
          <w:lang w:eastAsia="fr-FR"/>
        </w:rPr>
        <w:t>and of non compliance scenarios</w:t>
      </w:r>
      <w:r w:rsidR="000C329F" w:rsidRPr="00D836A2">
        <w:t xml:space="preserve">, </w:t>
      </w:r>
      <w:r w:rsidR="00C42080" w:rsidRPr="00D836A2">
        <w:t>including</w:t>
      </w:r>
      <w:r w:rsidR="000C329F" w:rsidRPr="00D836A2">
        <w:t xml:space="preserve"> modifications </w:t>
      </w:r>
      <w:r w:rsidR="00BA0483" w:rsidRPr="00D836A2">
        <w:t xml:space="preserve">in </w:t>
      </w:r>
      <w:r w:rsidR="000C329F" w:rsidRPr="00D836A2">
        <w:t>protein dishes.</w:t>
      </w:r>
    </w:p>
    <w:bookmarkEnd w:id="1"/>
    <w:bookmarkEnd w:id="2"/>
    <w:p w:rsidR="00885BB0" w:rsidRPr="00D836A2" w:rsidRDefault="00885BB0" w:rsidP="005D10D8">
      <w:pPr>
        <w:pStyle w:val="MDPI21heading1"/>
      </w:pPr>
      <w:r w:rsidRPr="00D836A2">
        <w:rPr>
          <w:lang w:eastAsia="zh-CN"/>
        </w:rPr>
        <w:t xml:space="preserve">2. </w:t>
      </w:r>
      <w:r w:rsidRPr="00D836A2">
        <w:t xml:space="preserve">Materials and Methods </w:t>
      </w:r>
    </w:p>
    <w:p w:rsidR="005B6231" w:rsidRPr="00D836A2" w:rsidRDefault="000C329F" w:rsidP="00A12CF5">
      <w:pPr>
        <w:pStyle w:val="MDPI31text"/>
      </w:pPr>
      <w:r w:rsidRPr="00D836A2">
        <w:t xml:space="preserve">The GEM-RCN’s </w:t>
      </w:r>
      <w:r w:rsidR="005E214A" w:rsidRPr="00D836A2">
        <w:t xml:space="preserve">nutrition guidelines </w:t>
      </w:r>
      <w:r w:rsidR="00FF17D2">
        <w:fldChar w:fldCharType="begin"/>
      </w:r>
      <w:r w:rsidR="006C5B2D">
        <w:instrText xml:space="preserve"> ADDIN REFMGR.CITE &lt;Refman&gt;&lt;Cite&gt;&lt;Author&gt;Minist&amp;#xE8;re de l&amp;apos;Economie&lt;/Author&gt;&lt;Year&gt;2015&lt;/Year&gt;&lt;RecNum&gt;5113&lt;/RecNum&gt;&lt;IDText&gt;Recommandation Nutrition,Version 2.0 Juillet 2015&lt;/IDText&gt;&lt;MDL Ref_Type="Journal"&gt;&lt;Ref_Type&gt;Journal&lt;/Ref_Type&gt;&lt;Ref_ID&gt;5113&lt;/Ref_ID&gt;&lt;Title_Primary&gt;Recommandation Nutrition,Version 2.0 Juillet 2015&lt;/Title_Primary&gt;&lt;Authors_Primary&gt;Minist&amp;#xE8;re de l&amp;apos;Economie&lt;/Authors_Primary&gt;&lt;Authors_Primary&gt;Direction des Affaires Juridiques&lt;/Authors_Primary&gt;&lt;Authors_Primary&gt;Observatoire Economique de l&amp;apos;Achat Public&lt;/Authors_Primary&gt;&lt;Authors_Primary&gt;Groupe d&amp;apos;Etude des March&amp;#xE9;s Restauration Collective et de Nutrition (GEM-RCN)&lt;/Authors_Primary&gt;&lt;Date_Primary&gt;2015&lt;/Date_Primary&gt;&lt;Keywords&gt;De&lt;/Keywords&gt;&lt;Keywords&gt;Du&lt;/Keywords&gt;&lt;Keywords&gt;Et&lt;/Keywords&gt;&lt;Keywords&gt;Nutrition&lt;/Keywords&gt;&lt;Reprint&gt;Not in File&lt;/Reprint&gt;&lt;Periodical&gt;Version 2.0 Juillet 2015&lt;/Periodical&gt;&lt;Volume&gt;[en ligne] (Consult&amp;#xE9; le 25 juin 2017) https://www.economie.gouv.fr/daj/recommandation-nutrition&lt;/Volume&gt;&lt;ZZ_JournalStdAbbrev&gt;&lt;f name="System"&gt;Version 2.0 Juillet 2015&lt;/f&gt;&lt;/ZZ_JournalStdAbbrev&gt;&lt;ZZ_WorkformID&gt;1&lt;/ZZ_WorkformID&gt;&lt;/MDL&gt;&lt;/Cite&gt;&lt;/Refman&gt;</w:instrText>
      </w:r>
      <w:r w:rsidR="00FF17D2">
        <w:fldChar w:fldCharType="separate"/>
      </w:r>
      <w:r w:rsidR="006C5B2D">
        <w:t>[13]</w:t>
      </w:r>
      <w:r w:rsidR="00FF17D2">
        <w:fldChar w:fldCharType="end"/>
      </w:r>
      <w:r w:rsidRPr="00D836A2">
        <w:t xml:space="preserve"> for public catering define the general format of meals (four or five </w:t>
      </w:r>
      <w:r w:rsidR="00D32994" w:rsidRPr="00D836A2">
        <w:t>components</w:t>
      </w:r>
      <w:r w:rsidRPr="00D836A2">
        <w:t>: starter, protein dish, side</w:t>
      </w:r>
      <w:r w:rsidR="000E3BDE">
        <w:t xml:space="preserve"> dish</w:t>
      </w:r>
      <w:r w:rsidRPr="00D836A2">
        <w:t xml:space="preserve">, dairy product, and dessert), </w:t>
      </w:r>
      <w:r w:rsidR="001A09AF" w:rsidRPr="00D836A2">
        <w:t xml:space="preserve">the </w:t>
      </w:r>
      <w:r w:rsidRPr="00D836A2">
        <w:t>recommend</w:t>
      </w:r>
      <w:r w:rsidR="001A09AF" w:rsidRPr="00D836A2">
        <w:t>ed</w:t>
      </w:r>
      <w:r w:rsidRPr="00D836A2">
        <w:t xml:space="preserve"> portion sizes for the dishes and foods most frequently served in public catering, and </w:t>
      </w:r>
      <w:r w:rsidR="001A09AF" w:rsidRPr="00D836A2">
        <w:t xml:space="preserve">the </w:t>
      </w:r>
      <w:r w:rsidRPr="00D836A2">
        <w:t>recommend</w:t>
      </w:r>
      <w:r w:rsidR="001A09AF" w:rsidRPr="00D836A2">
        <w:t>ed</w:t>
      </w:r>
      <w:r w:rsidRPr="00D836A2">
        <w:t xml:space="preserve"> service frequencies for fifteen types of dishes in a series of 20 consecutive lunches (or approximately 4 weeks of school). These 15 types of dishes are themselves defined by criteria based on one or more </w:t>
      </w:r>
      <w:r w:rsidR="003E52C8" w:rsidRPr="00D836A2">
        <w:t>characteristic</w:t>
      </w:r>
      <w:r w:rsidRPr="00D836A2">
        <w:t xml:space="preserve">(s) such as the </w:t>
      </w:r>
      <w:r w:rsidR="003E52C8" w:rsidRPr="00D836A2">
        <w:t>meal</w:t>
      </w:r>
      <w:r w:rsidRPr="00D836A2">
        <w:t xml:space="preserve"> </w:t>
      </w:r>
      <w:r w:rsidR="00D32994" w:rsidRPr="00D836A2">
        <w:t xml:space="preserve">component </w:t>
      </w:r>
      <w:r w:rsidRPr="00D836A2">
        <w:t>(starter, for example), and/or the content of some food groups in the dish (for example, proportion of vegetables), and/or certain nutrients (fat content, for example)</w:t>
      </w:r>
      <w:r w:rsidR="00D836A2" w:rsidRPr="00D836A2">
        <w:t>,</w:t>
      </w:r>
      <w:r w:rsidRPr="00D836A2">
        <w:t xml:space="preserve"> or other characteristics of the food served (raw/cooked, ground/not ground, etc.). The combination of a criterion and an associated frequency forms a “frequency criterion”. For example, dishes meeting the criterion “starter containing more than 15% fat” must be served no more than four times in a series of 20 </w:t>
      </w:r>
      <w:r w:rsidR="006059B4" w:rsidRPr="00D836A2">
        <w:t xml:space="preserve">consecutive </w:t>
      </w:r>
      <w:r w:rsidRPr="00D836A2">
        <w:t xml:space="preserve">meals. </w:t>
      </w:r>
      <w:r w:rsidR="00376C3B" w:rsidRPr="004C2008">
        <w:rPr>
          <w:b/>
        </w:rPr>
        <w:t>Table 1</w:t>
      </w:r>
      <w:r w:rsidRPr="00D836A2">
        <w:t xml:space="preserve"> lists the 15 frequency criteria</w:t>
      </w:r>
      <w:r w:rsidR="00BA0483" w:rsidRPr="00D836A2">
        <w:t xml:space="preserve"> (referred to as “FC” </w:t>
      </w:r>
      <w:r w:rsidR="00D836A2" w:rsidRPr="00D836A2">
        <w:t>hereafter</w:t>
      </w:r>
      <w:r w:rsidR="00BA0483" w:rsidRPr="00D836A2">
        <w:t>)</w:t>
      </w:r>
      <w:r w:rsidRPr="00D836A2">
        <w:t xml:space="preserve">. Compliance with these 15 </w:t>
      </w:r>
      <w:r w:rsidR="00BA0483" w:rsidRPr="00D836A2">
        <w:t>FC</w:t>
      </w:r>
      <w:r w:rsidRPr="00D836A2">
        <w:t xml:space="preserve"> became mandatory for all schools in 2011 </w:t>
      </w:r>
      <w:r w:rsidR="00FF17D2">
        <w:fldChar w:fldCharType="begin"/>
      </w:r>
      <w:r w:rsidR="006C5B2D">
        <w:instrText xml:space="preserve"> ADDIN REFMGR.CITE &lt;Refman&gt;&lt;Cite&gt;&lt;Author&gt;R&amp;#xE9;publique Fran&amp;#xE7;aise&lt;/Author&gt;&lt;Year&gt;2011&lt;/Year&gt;&lt;RecNum&gt;4749&lt;/RecNum&gt;&lt;IDText&gt;Decret n&amp;#xB0;2011-1227 du 30 septembre 2011 relatif a la qualit&amp;#xE9; nutritionnelle des repas servis dans le cadre de la restauration scolaire&lt;/IDText&gt;&lt;MDL Ref_Type="Journal"&gt;&lt;Ref_Type&gt;Journal&lt;/Ref_Type&gt;&lt;Ref_ID&gt;4749&lt;/Ref_ID&gt;&lt;Title_Primary&gt;&lt;f name="AdvM2701"&gt;Decret n&lt;/f&gt;&lt;f name="AdvP4C4E74"&gt;&amp;#xB0;&lt;/f&gt;&lt;f name="AdvM2701"&gt;2011-1227 du 30 septembre 2011 relatif a la qualit&amp;#xE9; nutritionnelle des repas servis dans le cadre de la restauration scolaire&lt;/f&gt;&lt;/Title_Primary&gt;&lt;Authors_Primary&gt;R&amp;#xE9;publique Fran&amp;#xE7;aise&lt;/Authors_Primary&gt;&lt;Date_Primary&gt;2011&lt;/Date_Primary&gt;&lt;Keywords&gt;De&lt;/Keywords&gt;&lt;Keywords&gt;Du&lt;/Keywords&gt;&lt;Reprint&gt;Not in File&lt;/Reprint&gt;&lt;Periodical&gt;Journal Officiel de la R&amp;#xE9;publique Fran&amp;#xE7;aise&lt;/Periodical&gt;&lt;Volume&gt;JORF n&amp;#xB0; 0229 du 2 Octobre 2011:16572 Texte n&amp;#xB0;29:NOR: AGRG1032342D &lt;/Volume&gt;&lt;ZZ_JournalFull&gt;&lt;f name="System"&gt;Journal Officiel de la R&amp;#xE9;publique Fran&amp;#xE7;aise&lt;/f&gt;&lt;/ZZ_JournalFull&gt;&lt;ZZ_WorkformID&gt;1&lt;/ZZ_WorkformID&gt;&lt;/MDL&gt;&lt;/Cite&gt;&lt;Cite&gt;&lt;Author&gt;R&amp;#xE9;publique Fran&amp;#xE7;aise&lt;/Author&gt;&lt;Year&gt;2011&lt;/Year&gt;&lt;RecNum&gt;5114&lt;/RecNum&gt;&lt;IDText&gt;Arr&amp;#xEA;t&amp;#xE9; du 30 septembre 2011 relatif &amp;#xE0; la qualit&amp;#xE9; nutritionnelle des repas servis dans le cadre de la restauration scolaire&lt;/IDText&gt;&lt;MDL Ref_Type="Journal"&gt;&lt;Ref_Type&gt;Journal&lt;/Ref_Type&gt;&lt;Ref_ID&gt;5114&lt;/Ref_ID&gt;&lt;Title_Primary&gt;&lt;b&gt;Arr&amp;#xEA;t&amp;#xE9; du 30 septembre 2011 relatif &amp;#xE0; la qualit&amp;#xE9; nutritionnelle des repas servis dans le cadre de la restauration scolaire&lt;/b&gt;&lt;/Title_Primary&gt;&lt;Authors_Primary&gt;R&amp;#xE9;publique Fran&amp;#xE7;aise&lt;/Authors_Primary&gt;&lt;Date_Primary&gt;2011&lt;/Date_Primary&gt;&lt;Keywords&gt;De&lt;/Keywords&gt;&lt;Keywords&gt;Du&lt;/Keywords&gt;&lt;Reprint&gt;Not in File&lt;/Reprint&gt;&lt;Periodical&gt;Journal Officiel de la R&amp;#xE9;publique Fran&amp;#xE7;aise&lt;/Periodical&gt;&lt;Volume&gt;JORF n&amp;#xB0;0229 du 2 octobre 2011: 16575 Texte n&amp;#xB0;34-NOR: AGRG1032380A Version consolid&amp;#xE9;e au 25 juin 2017 &lt;/Volume&gt;&lt;ZZ_JournalFull&gt;&lt;f name="System"&gt;Journal Officiel de la R&amp;#xE9;publique Fran&amp;#xE7;aise&lt;/f&gt;&lt;/ZZ_JournalFull&gt;&lt;ZZ_WorkformID&gt;1&lt;/ZZ_WorkformID&gt;&lt;/MDL&gt;&lt;/Cite&gt;&lt;/Refman&gt;</w:instrText>
      </w:r>
      <w:r w:rsidR="00FF17D2">
        <w:fldChar w:fldCharType="separate"/>
      </w:r>
      <w:r w:rsidR="006C5B2D">
        <w:t>[9,10]</w:t>
      </w:r>
      <w:r w:rsidR="00FF17D2">
        <w:fldChar w:fldCharType="end"/>
      </w:r>
      <w:r w:rsidRPr="00D836A2">
        <w:t xml:space="preserve">, while portion sizes remain indicative. </w:t>
      </w:r>
      <w:r w:rsidR="00D03C40">
        <w:t xml:space="preserve"> </w:t>
      </w:r>
      <w:r w:rsidR="00376C3B" w:rsidRPr="004C2008">
        <w:rPr>
          <w:b/>
        </w:rPr>
        <w:t>Figure 1</w:t>
      </w:r>
      <w:r w:rsidR="00D03C40">
        <w:t xml:space="preserve"> provides a general </w:t>
      </w:r>
      <w:r w:rsidR="00D03C40">
        <w:lastRenderedPageBreak/>
        <w:t xml:space="preserve">overview of </w:t>
      </w:r>
      <w:r w:rsidR="00A12CF5">
        <w:t>the methodology. Input data were s</w:t>
      </w:r>
      <w:r w:rsidR="00D03C40">
        <w:t xml:space="preserve">eries of meals </w:t>
      </w:r>
      <w:r w:rsidR="00D03C40" w:rsidRPr="00D836A2">
        <w:rPr>
          <w:rFonts w:cs="Calibri"/>
          <w:lang w:eastAsia="fr-FR"/>
        </w:rPr>
        <w:t>actually served in primary schools</w:t>
      </w:r>
      <w:r w:rsidR="00D03C40">
        <w:t xml:space="preserve"> </w:t>
      </w:r>
      <w:r w:rsidR="00D03C40" w:rsidRPr="00D836A2">
        <w:rPr>
          <w:rFonts w:cs="Calibri"/>
          <w:lang w:eastAsia="fr-FR"/>
        </w:rPr>
        <w:t>(“observed series”)</w:t>
      </w:r>
      <w:r w:rsidR="00CF0C81">
        <w:rPr>
          <w:rFonts w:cs="Calibri"/>
          <w:lang w:eastAsia="fr-FR"/>
        </w:rPr>
        <w:t xml:space="preserve">, </w:t>
      </w:r>
      <w:r w:rsidR="00FF17D2">
        <w:rPr>
          <w:rFonts w:cs="Calibri"/>
          <w:lang w:eastAsia="fr-FR"/>
        </w:rPr>
        <w:t>the l</w:t>
      </w:r>
      <w:r w:rsidR="00FF17D2" w:rsidRPr="00FF17D2">
        <w:rPr>
          <w:rFonts w:cs="Calibri"/>
          <w:lang w:eastAsia="fr-FR"/>
        </w:rPr>
        <w:t xml:space="preserve">ist of </w:t>
      </w:r>
      <w:r w:rsidR="00CF0C81">
        <w:rPr>
          <w:rFonts w:cs="Calibri"/>
          <w:lang w:eastAsia="fr-FR"/>
        </w:rPr>
        <w:t xml:space="preserve">the </w:t>
      </w:r>
      <w:r w:rsidR="00FF17D2" w:rsidRPr="00FF17D2">
        <w:rPr>
          <w:rFonts w:cs="Calibri"/>
          <w:lang w:eastAsia="fr-FR"/>
        </w:rPr>
        <w:t>15 mandatory FC</w:t>
      </w:r>
      <w:r w:rsidR="00CF0C81">
        <w:rPr>
          <w:rFonts w:cs="Calibri"/>
          <w:lang w:eastAsia="fr-FR"/>
        </w:rPr>
        <w:t xml:space="preserve">, </w:t>
      </w:r>
      <w:r w:rsidR="00FF17D2">
        <w:rPr>
          <w:rFonts w:cs="Calibri"/>
          <w:lang w:eastAsia="fr-FR"/>
        </w:rPr>
        <w:t>t</w:t>
      </w:r>
      <w:r w:rsidR="00FF17D2" w:rsidRPr="00FF17D2">
        <w:rPr>
          <w:rFonts w:cs="Calibri"/>
          <w:lang w:eastAsia="fr-FR"/>
        </w:rPr>
        <w:t>echnical files, recipes</w:t>
      </w:r>
      <w:r w:rsidR="00CF0C81">
        <w:rPr>
          <w:rFonts w:cs="Calibri"/>
          <w:lang w:eastAsia="fr-FR"/>
        </w:rPr>
        <w:t xml:space="preserve"> </w:t>
      </w:r>
      <w:r w:rsidR="00FF17D2" w:rsidRPr="00FF17D2">
        <w:rPr>
          <w:rFonts w:cs="Calibri"/>
          <w:lang w:eastAsia="fr-FR"/>
        </w:rPr>
        <w:t>and nutrient content of ingredients</w:t>
      </w:r>
      <w:r w:rsidR="00CF0C81">
        <w:rPr>
          <w:rFonts w:cs="Calibri"/>
          <w:lang w:eastAsia="fr-FR"/>
        </w:rPr>
        <w:t>.</w:t>
      </w:r>
      <w:r w:rsidR="00A12CF5">
        <w:rPr>
          <w:rFonts w:cs="Calibri"/>
          <w:lang w:eastAsia="fr-FR"/>
        </w:rPr>
        <w:t xml:space="preserve"> </w:t>
      </w:r>
      <w:r w:rsidR="00A12CF5">
        <w:t xml:space="preserve">To assess </w:t>
      </w:r>
      <w:r w:rsidR="00A12CF5" w:rsidRPr="00D836A2">
        <w:t>the nutritional impact</w:t>
      </w:r>
      <w:r w:rsidR="00A12CF5">
        <w:t xml:space="preserve"> </w:t>
      </w:r>
      <w:r w:rsidR="00165B98">
        <w:t xml:space="preserve">of </w:t>
      </w:r>
      <w:r w:rsidR="00A12CF5" w:rsidRPr="00D836A2">
        <w:rPr>
          <w:lang w:eastAsia="fr-FR"/>
        </w:rPr>
        <w:t>French school food guidelines</w:t>
      </w:r>
      <w:r w:rsidR="00A12CF5">
        <w:rPr>
          <w:lang w:eastAsia="fr-FR"/>
        </w:rPr>
        <w:t>, s</w:t>
      </w:r>
      <w:r w:rsidR="00A12CF5">
        <w:rPr>
          <w:rFonts w:cs="Calibri"/>
          <w:lang w:eastAsia="fr-FR"/>
        </w:rPr>
        <w:t xml:space="preserve">eries </w:t>
      </w:r>
      <w:r w:rsidR="00165B98">
        <w:rPr>
          <w:rFonts w:cs="Calibri"/>
          <w:lang w:eastAsia="fr-FR"/>
        </w:rPr>
        <w:t xml:space="preserve">of meals </w:t>
      </w:r>
      <w:r w:rsidR="00A12CF5">
        <w:rPr>
          <w:rFonts w:cs="Calibri"/>
          <w:lang w:eastAsia="fr-FR"/>
        </w:rPr>
        <w:t xml:space="preserve">were simulated according to five </w:t>
      </w:r>
      <w:r w:rsidR="00D03C40" w:rsidRPr="00D836A2">
        <w:rPr>
          <w:lang w:eastAsia="fr-FR"/>
        </w:rPr>
        <w:t>scenarios of compliance or non-compliance with FC</w:t>
      </w:r>
      <w:r w:rsidR="00A12CF5">
        <w:rPr>
          <w:lang w:eastAsia="fr-FR"/>
        </w:rPr>
        <w:t>, including modifications regarding the protein dish.</w:t>
      </w:r>
    </w:p>
    <w:p w:rsidR="002C5B09" w:rsidRPr="00D836A2" w:rsidRDefault="002C5B09" w:rsidP="005D10D8">
      <w:pPr>
        <w:pStyle w:val="MDPI22heading2"/>
        <w:rPr>
          <w:noProof w:val="0"/>
        </w:rPr>
      </w:pPr>
      <w:r w:rsidRPr="00D836A2">
        <w:rPr>
          <w:noProof w:val="0"/>
        </w:rPr>
        <w:t>2.1.</w:t>
      </w:r>
      <w:r w:rsidR="00A8544C">
        <w:rPr>
          <w:noProof w:val="0"/>
        </w:rPr>
        <w:t xml:space="preserve"> </w:t>
      </w:r>
      <w:r w:rsidRPr="00D836A2">
        <w:rPr>
          <w:noProof w:val="0"/>
        </w:rPr>
        <w:t>Data Collection</w:t>
      </w:r>
    </w:p>
    <w:p w:rsidR="002C5B09" w:rsidRPr="00D836A2" w:rsidRDefault="002C5B09" w:rsidP="005D10D8">
      <w:pPr>
        <w:pStyle w:val="MDPI31text"/>
      </w:pPr>
      <w:r w:rsidRPr="00D836A2">
        <w:t xml:space="preserve">For this study, data were collected </w:t>
      </w:r>
      <w:r w:rsidR="000E01A6" w:rsidRPr="00D836A2">
        <w:t xml:space="preserve">on </w:t>
      </w:r>
      <w:r w:rsidRPr="00D836A2">
        <w:t xml:space="preserve">40 series of 20 lunches actually served in primary schools in France. These series are referred to as “observed series” hereafter. They were provided by two partners in the study: the </w:t>
      </w:r>
      <w:r w:rsidRPr="00D836A2">
        <w:rPr>
          <w:i/>
        </w:rPr>
        <w:t>Syndicat National de la Restauration Collective</w:t>
      </w:r>
      <w:r w:rsidRPr="00D836A2">
        <w:t xml:space="preserve"> (SNRC [national public catering union]) to whom the production and management of school meals has been delegated; and </w:t>
      </w:r>
      <w:r w:rsidRPr="00D836A2">
        <w:rPr>
          <w:i/>
        </w:rPr>
        <w:t>Restau’Co</w:t>
      </w:r>
      <w:r w:rsidRPr="00D836A2">
        <w:t>, a network of directly managed public catering professionals. The two partners wrote to their networks with the operational aim of securing the participation in the study of approximately ten organizations</w:t>
      </w:r>
      <w:r w:rsidR="001B4254" w:rsidRPr="00D836A2">
        <w:t xml:space="preserve"> each</w:t>
      </w:r>
      <w:r w:rsidRPr="00D836A2">
        <w:t xml:space="preserve">, </w:t>
      </w:r>
      <w:r w:rsidR="00E35675" w:rsidRPr="00D836A2">
        <w:t>seeking</w:t>
      </w:r>
      <w:r w:rsidRPr="00D836A2">
        <w:t xml:space="preserve"> the widest possible diversity in terms of type of operation (meals produced on site or in a central kitchen), number of employees, geographic location, city size, and number of meals served. For each organization, participation consisted of providing </w:t>
      </w:r>
      <w:r w:rsidR="00CF0058" w:rsidRPr="00D836A2">
        <w:t xml:space="preserve">two </w:t>
      </w:r>
      <w:r w:rsidRPr="00D836A2">
        <w:t>series</w:t>
      </w:r>
      <w:r w:rsidR="00CF0058" w:rsidRPr="00D836A2">
        <w:t>,</w:t>
      </w:r>
      <w:r w:rsidRPr="00D836A2">
        <w:t xml:space="preserve"> </w:t>
      </w:r>
      <w:r w:rsidR="00CF0058" w:rsidRPr="00D836A2">
        <w:t>one during spring (mainly May and June) and the other during fall (mainly October and November).</w:t>
      </w:r>
      <w:r w:rsidR="004B6335">
        <w:t xml:space="preserve"> </w:t>
      </w:r>
      <w:r w:rsidR="00B4769A">
        <w:t>Forty</w:t>
      </w:r>
      <w:r w:rsidR="004B6335">
        <w:t xml:space="preserve"> </w:t>
      </w:r>
      <w:r w:rsidR="004B6335" w:rsidRPr="005554A3">
        <w:t xml:space="preserve">observed series were </w:t>
      </w:r>
      <w:r w:rsidR="004B6335">
        <w:t xml:space="preserve">thus </w:t>
      </w:r>
      <w:r w:rsidR="004B6335" w:rsidRPr="005554A3">
        <w:t xml:space="preserve">collected (2 partners x 10 </w:t>
      </w:r>
      <w:r w:rsidR="004B6335" w:rsidRPr="00DC19A7">
        <w:t>organizations from each partner</w:t>
      </w:r>
      <w:r w:rsidR="004B6335" w:rsidRPr="005554A3">
        <w:t xml:space="preserve"> x 2 </w:t>
      </w:r>
      <w:r w:rsidR="004B6335" w:rsidRPr="00DC19A7">
        <w:t>series from each organization)</w:t>
      </w:r>
      <w:r w:rsidR="004B6335" w:rsidRPr="005554A3">
        <w:rPr>
          <w:rFonts w:ascii="Verdana" w:hAnsi="Verdana" w:cs="Arial"/>
          <w:szCs w:val="20"/>
          <w:lang w:eastAsia="fr-FR"/>
        </w:rPr>
        <w:t>.</w:t>
      </w:r>
      <w:r w:rsidR="004B6335">
        <w:rPr>
          <w:rFonts w:ascii="Verdana" w:hAnsi="Verdana" w:cs="Arial"/>
          <w:szCs w:val="20"/>
          <w:lang w:eastAsia="fr-FR"/>
        </w:rPr>
        <w:t xml:space="preserve"> </w:t>
      </w:r>
      <w:r w:rsidR="00CF0058" w:rsidRPr="00D836A2">
        <w:t xml:space="preserve">For each series </w:t>
      </w:r>
      <w:r w:rsidRPr="00D836A2">
        <w:t>of 20 meals</w:t>
      </w:r>
      <w:r w:rsidR="00D32994" w:rsidRPr="00D836A2">
        <w:t>,</w:t>
      </w:r>
      <w:r w:rsidRPr="00D836A2">
        <w:t xml:space="preserve"> the names of the dishes </w:t>
      </w:r>
      <w:r w:rsidR="00CF0058" w:rsidRPr="00D836A2">
        <w:t>were listed</w:t>
      </w:r>
      <w:r w:rsidRPr="00D836A2">
        <w:t xml:space="preserve">, and </w:t>
      </w:r>
      <w:r w:rsidR="00D32994" w:rsidRPr="00D836A2">
        <w:t xml:space="preserve">a </w:t>
      </w:r>
      <w:r w:rsidRPr="00D836A2">
        <w:t>technical file—i.e. the ingredients and quantities used—</w:t>
      </w:r>
      <w:r w:rsidR="00D32994" w:rsidRPr="00D836A2">
        <w:t xml:space="preserve">was </w:t>
      </w:r>
      <w:r w:rsidR="00CF0058" w:rsidRPr="00D836A2">
        <w:t xml:space="preserve">provided </w:t>
      </w:r>
      <w:r w:rsidRPr="00D836A2">
        <w:t xml:space="preserve">for each dish. </w:t>
      </w:r>
      <w:r w:rsidR="00A8544C">
        <w:t>T</w:t>
      </w:r>
      <w:r w:rsidR="00FA09F5" w:rsidRPr="00D836A2">
        <w:t xml:space="preserve">echnical files were also </w:t>
      </w:r>
      <w:r w:rsidR="00D32994" w:rsidRPr="00D836A2">
        <w:t xml:space="preserve">provided </w:t>
      </w:r>
      <w:r w:rsidR="00FA09F5" w:rsidRPr="00D836A2">
        <w:t xml:space="preserve">for </w:t>
      </w:r>
      <w:r w:rsidRPr="00D836A2">
        <w:t xml:space="preserve">simple foods such as a banana or yoghurt. Specifications were sent to each organization to ensure maximum data homogeneity, quality and precision. Each series was composed of 20 lunches served </w:t>
      </w:r>
      <w:r w:rsidR="00D32994" w:rsidRPr="00D836A2">
        <w:t xml:space="preserve">over </w:t>
      </w:r>
      <w:r w:rsidR="009219A9">
        <w:t xml:space="preserve">a period of </w:t>
      </w:r>
      <w:r w:rsidRPr="00D836A2">
        <w:t>20 consecutive school days. In addition, the near totality of meals (94%) consisted of 5 components: starter, protein dish, side</w:t>
      </w:r>
      <w:r w:rsidR="000E3BDE">
        <w:t xml:space="preserve"> dish</w:t>
      </w:r>
      <w:r w:rsidRPr="00D836A2">
        <w:t>, dairy product and dessert.</w:t>
      </w:r>
    </w:p>
    <w:p w:rsidR="00843590" w:rsidRDefault="002C5B09" w:rsidP="005D10D8">
      <w:pPr>
        <w:pStyle w:val="MDPI31text"/>
      </w:pPr>
      <w:r w:rsidRPr="00D836A2">
        <w:t xml:space="preserve">The ingredients making up each dish were recorded by an expert in the field (a dietician) and the nutrient composition of each dish was estimated using the French food nutrient composition reference table </w:t>
      </w:r>
      <w:r w:rsidR="00FF17D2">
        <w:fldChar w:fldCharType="begin"/>
      </w:r>
      <w:r w:rsidR="006C5B2D">
        <w:instrText xml:space="preserve"> ADDIN REFMGR.CITE &lt;Refman&gt;&lt;Cite&gt;&lt;Author&gt;The French Information Center on Food Quality&lt;/Author&gt;&lt;Year&gt;2013&lt;/Year&gt;&lt;RecNum&gt;5173&lt;/RecNum&gt;&lt;IDText&gt;French food composition table Ciqual 2013&lt;/IDText&gt;&lt;MDL Ref_Type="Journal"&gt;&lt;Ref_Type&gt;Journal&lt;/Ref_Type&gt;&lt;Ref_ID&gt;5173&lt;/Ref_ID&gt;&lt;Title_Primary&gt;&lt;f name="Helvetica"&gt;French food composition table Ciqual 2013&lt;/f&gt;&lt;/Title_Primary&gt;&lt;Authors_Primary&gt;The French Information Center on Food Quality&lt;/Authors_Primary&gt;&lt;Date_Primary&gt;2013&lt;/Date_Primary&gt;&lt;Keywords&gt;Food&lt;/Keywords&gt;&lt;Keywords&gt;Food Quality&lt;/Keywords&gt;&lt;Reprint&gt;Not in File&lt;/Reprint&gt;&lt;Periodical&gt;[internet]&lt;/Periodical&gt;&lt;ZZ_JournalFull&gt;&lt;f name="System"&gt;[internet]&lt;/f&gt;&lt;/ZZ_JournalFull&gt;&lt;ZZ_WorkformID&gt;1&lt;/ZZ_WorkformID&gt;&lt;/MDL&gt;&lt;/Cite&gt;&lt;/Refman&gt;</w:instrText>
      </w:r>
      <w:r w:rsidR="00FF17D2">
        <w:fldChar w:fldCharType="separate"/>
      </w:r>
      <w:r w:rsidR="006C5B2D">
        <w:t>[22]</w:t>
      </w:r>
      <w:r w:rsidR="00FF17D2">
        <w:fldChar w:fldCharType="end"/>
      </w:r>
      <w:r w:rsidRPr="00D836A2">
        <w:t xml:space="preserve">. Each dish was identified according to its meal component (for example, starter) and the food category of its main ingredient </w:t>
      </w:r>
      <w:r w:rsidR="009219A9" w:rsidRPr="00D836A2">
        <w:t>(</w:t>
      </w:r>
      <w:r w:rsidR="009219A9">
        <w:t>e.g.</w:t>
      </w:r>
      <w:r w:rsidR="009219A9" w:rsidRPr="00D836A2">
        <w:t xml:space="preserve"> vegetables) </w:t>
      </w:r>
      <w:r w:rsidRPr="00D836A2">
        <w:t>(</w:t>
      </w:r>
      <w:r w:rsidR="00E32C95" w:rsidRPr="00D836A2">
        <w:rPr>
          <w:b/>
        </w:rPr>
        <w:t>Table</w:t>
      </w:r>
      <w:r w:rsidRPr="00D836A2">
        <w:rPr>
          <w:b/>
        </w:rPr>
        <w:t xml:space="preserve"> </w:t>
      </w:r>
      <w:r w:rsidR="00E32C95" w:rsidRPr="00D836A2">
        <w:rPr>
          <w:b/>
        </w:rPr>
        <w:t>A</w:t>
      </w:r>
      <w:r w:rsidRPr="00D836A2">
        <w:rPr>
          <w:b/>
        </w:rPr>
        <w:t>1</w:t>
      </w:r>
      <w:r w:rsidRPr="00D836A2">
        <w:t xml:space="preserve">). Then, a classification specific to the 15 </w:t>
      </w:r>
      <w:r w:rsidR="007824B6" w:rsidRPr="00D836A2">
        <w:t xml:space="preserve">FC </w:t>
      </w:r>
      <w:r w:rsidRPr="00D836A2">
        <w:t xml:space="preserve">(Table </w:t>
      </w:r>
      <w:r w:rsidR="00D44BF5">
        <w:t>1</w:t>
      </w:r>
      <w:r w:rsidRPr="00D836A2">
        <w:t xml:space="preserve">) was applied (for example, the “starter containing more than 15% fat” criterion). </w:t>
      </w:r>
    </w:p>
    <w:p w:rsidR="002C5B09" w:rsidRPr="00D836A2" w:rsidRDefault="002C5B09" w:rsidP="005D10D8">
      <w:pPr>
        <w:pStyle w:val="MDPI31text"/>
      </w:pPr>
      <w:r w:rsidRPr="00D836A2">
        <w:t xml:space="preserve">A portion of </w:t>
      </w:r>
      <w:r w:rsidR="009219A9">
        <w:t xml:space="preserve">50 g of </w:t>
      </w:r>
      <w:r w:rsidRPr="00D836A2">
        <w:t>bread was added to each meal</w:t>
      </w:r>
      <w:r w:rsidR="009B402F" w:rsidRPr="00D836A2">
        <w:t xml:space="preserve"> as the two partners involved in the study indicated that </w:t>
      </w:r>
      <w:r w:rsidR="009219A9">
        <w:t>this</w:t>
      </w:r>
      <w:r w:rsidR="009219A9" w:rsidRPr="00D836A2">
        <w:t xml:space="preserve"> </w:t>
      </w:r>
      <w:r w:rsidR="009B402F" w:rsidRPr="00D836A2">
        <w:t xml:space="preserve">is the portion </w:t>
      </w:r>
      <w:r w:rsidR="00AA7401" w:rsidRPr="00D836A2">
        <w:t xml:space="preserve">of bread usually offered to children </w:t>
      </w:r>
      <w:r w:rsidR="009219A9">
        <w:t>with</w:t>
      </w:r>
      <w:r w:rsidR="009219A9" w:rsidRPr="00D836A2">
        <w:t xml:space="preserve"> </w:t>
      </w:r>
      <w:r w:rsidR="00AA7401" w:rsidRPr="00D836A2">
        <w:t>lunch at school.</w:t>
      </w:r>
    </w:p>
    <w:p w:rsidR="002C5B09" w:rsidRPr="00D836A2" w:rsidRDefault="00FA09F5" w:rsidP="005D10D8">
      <w:pPr>
        <w:pStyle w:val="MDPI31text"/>
      </w:pPr>
      <w:r w:rsidRPr="00D836A2">
        <w:t>For each</w:t>
      </w:r>
      <w:r w:rsidR="002C5B09" w:rsidRPr="00D836A2">
        <w:t xml:space="preserve"> dish </w:t>
      </w:r>
      <w:r w:rsidRPr="00D836A2">
        <w:t>we estimated two weights</w:t>
      </w:r>
      <w:r w:rsidR="002C5B09" w:rsidRPr="00D836A2">
        <w:t xml:space="preserve">: </w:t>
      </w:r>
    </w:p>
    <w:p w:rsidR="002C5B09" w:rsidRPr="00D836A2" w:rsidRDefault="002C5B09" w:rsidP="005D10D8">
      <w:pPr>
        <w:pStyle w:val="MDPI31text"/>
      </w:pPr>
      <w:r w:rsidRPr="00D836A2">
        <w:t xml:space="preserve">- </w:t>
      </w:r>
      <w:r w:rsidR="00FA09F5" w:rsidRPr="00D836A2">
        <w:t xml:space="preserve">the </w:t>
      </w:r>
      <w:r w:rsidRPr="00D836A2">
        <w:t>“observed” weight</w:t>
      </w:r>
      <w:r w:rsidR="00FA09F5" w:rsidRPr="00D836A2">
        <w:t xml:space="preserve"> was</w:t>
      </w:r>
      <w:r w:rsidRPr="00D836A2">
        <w:t xml:space="preserve"> determined by adding the weight of each ingredient indicated on the technical </w:t>
      </w:r>
      <w:r w:rsidR="00FA09F5" w:rsidRPr="00D836A2">
        <w:t xml:space="preserve">file </w:t>
      </w:r>
      <w:r w:rsidRPr="00D836A2">
        <w:t xml:space="preserve">(taking into account standard cooking loss factors) divided by the number of diners; </w:t>
      </w:r>
    </w:p>
    <w:p w:rsidR="002C5B09" w:rsidRPr="00D836A2" w:rsidRDefault="002C5B09" w:rsidP="005D10D8">
      <w:pPr>
        <w:pStyle w:val="MDPI31text"/>
      </w:pPr>
      <w:r w:rsidRPr="00D836A2">
        <w:t xml:space="preserve">- </w:t>
      </w:r>
      <w:r w:rsidR="00FA09F5" w:rsidRPr="00D836A2">
        <w:t xml:space="preserve">the </w:t>
      </w:r>
      <w:r w:rsidRPr="00D836A2">
        <w:t>“recommended” weight</w:t>
      </w:r>
      <w:r w:rsidR="00FA09F5" w:rsidRPr="00D836A2">
        <w:t xml:space="preserve"> was derived from the</w:t>
      </w:r>
      <w:r w:rsidRPr="00D836A2">
        <w:t xml:space="preserve"> weights </w:t>
      </w:r>
      <w:r w:rsidR="00FA09F5" w:rsidRPr="00D836A2">
        <w:t xml:space="preserve">indicated </w:t>
      </w:r>
      <w:r w:rsidRPr="00D836A2">
        <w:t xml:space="preserve">for the various types of dishes in the GEM-RCN </w:t>
      </w:r>
      <w:r w:rsidR="00FA09F5" w:rsidRPr="00D836A2">
        <w:t>guidelines</w:t>
      </w:r>
      <w:r w:rsidRPr="00D836A2">
        <w:t xml:space="preserve"> </w:t>
      </w:r>
      <w:r w:rsidR="00FF17D2">
        <w:fldChar w:fldCharType="begin"/>
      </w:r>
      <w:r w:rsidR="006C5B2D">
        <w:instrText xml:space="preserve"> ADDIN REFMGR.CITE &lt;Refman&gt;&lt;Cite&gt;&lt;Author&gt;Minist&amp;#xE8;re de l&amp;apos;Economie&lt;/Author&gt;&lt;Year&gt;2015&lt;/Year&gt;&lt;RecNum&gt;5113&lt;/RecNum&gt;&lt;IDText&gt;Recommandation Nutrition,Version 2.0 Juillet 2015&lt;/IDText&gt;&lt;MDL Ref_Type="Journal"&gt;&lt;Ref_Type&gt;Journal&lt;/Ref_Type&gt;&lt;Ref_ID&gt;5113&lt;/Ref_ID&gt;&lt;Title_Primary&gt;Recommandation Nutrition,Version 2.0 Juillet 2015&lt;/Title_Primary&gt;&lt;Authors_Primary&gt;Minist&amp;#xE8;re de l&amp;apos;Economie&lt;/Authors_Primary&gt;&lt;Authors_Primary&gt;Direction des Affaires Juridiques&lt;/Authors_Primary&gt;&lt;Authors_Primary&gt;Observatoire Economique de l&amp;apos;Achat Public&lt;/Authors_Primary&gt;&lt;Authors_Primary&gt;Groupe d&amp;apos;Etude des March&amp;#xE9;s Restauration Collective et de Nutrition (GEM-RCN)&lt;/Authors_Primary&gt;&lt;Date_Primary&gt;2015&lt;/Date_Primary&gt;&lt;Keywords&gt;De&lt;/Keywords&gt;&lt;Keywords&gt;Du&lt;/Keywords&gt;&lt;Keywords&gt;Et&lt;/Keywords&gt;&lt;Keywords&gt;Nutrition&lt;/Keywords&gt;&lt;Reprint&gt;Not in File&lt;/Reprint&gt;&lt;Periodical&gt;Version 2.0 Juillet 2015&lt;/Periodical&gt;&lt;Volume&gt;[en ligne] (Consult&amp;#xE9; le 25 juin 2017) https://www.economie.gouv.fr/daj/recommandation-nutrition&lt;/Volume&gt;&lt;ZZ_JournalStdAbbrev&gt;&lt;f name="System"&gt;Version 2.0 Juillet 2015&lt;/f&gt;&lt;/ZZ_JournalStdAbbrev&gt;&lt;ZZ_WorkformID&gt;1&lt;/ZZ_WorkformID&gt;&lt;/MDL&gt;&lt;/Cite&gt;&lt;/Refman&gt;</w:instrText>
      </w:r>
      <w:r w:rsidR="00FF17D2">
        <w:fldChar w:fldCharType="separate"/>
      </w:r>
      <w:r w:rsidR="006C5B2D">
        <w:t>[13]</w:t>
      </w:r>
      <w:r w:rsidR="00FF17D2">
        <w:fldChar w:fldCharType="end"/>
      </w:r>
      <w:r w:rsidRPr="00D836A2">
        <w:t xml:space="preserve">. </w:t>
      </w:r>
    </w:p>
    <w:p w:rsidR="005E214A" w:rsidRPr="00D836A2" w:rsidRDefault="00FA09F5" w:rsidP="005D10D8">
      <w:pPr>
        <w:pStyle w:val="MDPI31text"/>
      </w:pPr>
      <w:r w:rsidRPr="00D836A2">
        <w:t>As explained below, o</w:t>
      </w:r>
      <w:r w:rsidR="005E214A" w:rsidRPr="00D836A2">
        <w:t xml:space="preserve">bserved weights </w:t>
      </w:r>
      <w:r w:rsidRPr="00D836A2">
        <w:t xml:space="preserve">were applied to the </w:t>
      </w:r>
      <w:r w:rsidR="005E214A" w:rsidRPr="00D836A2">
        <w:t xml:space="preserve">observed series and recommended weights </w:t>
      </w:r>
      <w:r w:rsidRPr="00D836A2">
        <w:t xml:space="preserve">were </w:t>
      </w:r>
      <w:r w:rsidR="005E214A" w:rsidRPr="00D836A2">
        <w:t xml:space="preserve">used for </w:t>
      </w:r>
      <w:r w:rsidRPr="00D836A2">
        <w:t xml:space="preserve">the </w:t>
      </w:r>
      <w:r w:rsidR="005E214A" w:rsidRPr="00D836A2">
        <w:t>simulated series.</w:t>
      </w:r>
    </w:p>
    <w:p w:rsidR="002C5B09" w:rsidRPr="00D836A2" w:rsidRDefault="002C5B09" w:rsidP="005D10D8">
      <w:pPr>
        <w:pStyle w:val="MDPI22heading2"/>
        <w:rPr>
          <w:noProof w:val="0"/>
        </w:rPr>
      </w:pPr>
      <w:r w:rsidRPr="00D836A2">
        <w:rPr>
          <w:noProof w:val="0"/>
        </w:rPr>
        <w:t>2.2. Nutritional Quality Indicators</w:t>
      </w:r>
    </w:p>
    <w:p w:rsidR="00AF6BFE" w:rsidRPr="00D836A2" w:rsidRDefault="002C5B09" w:rsidP="005D10D8">
      <w:pPr>
        <w:pStyle w:val="MDPI31text"/>
        <w:rPr>
          <w:rFonts w:cs="Calibri"/>
          <w:sz w:val="24"/>
          <w:szCs w:val="24"/>
        </w:rPr>
      </w:pPr>
      <w:r w:rsidRPr="00D836A2">
        <w:t xml:space="preserve">The nutritional quality of </w:t>
      </w:r>
      <w:r w:rsidR="00E20FDE">
        <w:t>each</w:t>
      </w:r>
      <w:r w:rsidR="00E20FDE" w:rsidRPr="00D836A2">
        <w:t xml:space="preserve"> </w:t>
      </w:r>
      <w:r w:rsidRPr="00D836A2">
        <w:t xml:space="preserve">20-meal series was estimated through the Mean Adequacy Ratio (MAR), an indicator that estimates the mean content of essential nutrients expressed as </w:t>
      </w:r>
      <w:r w:rsidR="001A09AF" w:rsidRPr="00D836A2">
        <w:t xml:space="preserve">a </w:t>
      </w:r>
      <w:r w:rsidRPr="00D836A2">
        <w:t xml:space="preserve">percentage of recommended intakes </w:t>
      </w:r>
      <w:r w:rsidR="00FF17D2">
        <w:fldChar w:fldCharType="begin"/>
      </w:r>
      <w:r w:rsidR="006C5B2D">
        <w:instrText xml:space="preserve"> ADDIN REFMGR.CITE &lt;Refman&gt;&lt;Cite&gt;&lt;Author&gt;Guthrie&lt;/Author&gt;&lt;Year&gt;1981&lt;/Year&gt;&lt;RecNum&gt;4167&lt;/RecNum&gt;&lt;IDText&gt;Validity of a dietary score for assessing nutrient adequacy&lt;/IDText&gt;&lt;MDL Ref_Type="Journal"&gt;&lt;Ref_Type&gt;Journal&lt;/Ref_Type&gt;&lt;Ref_ID&gt;4167&lt;/Ref_ID&gt;&lt;Title_Primary&gt;Validity of a dietary score for assessing nutrient adequacy&lt;/Title_Primary&gt;&lt;Authors_Primary&gt;Guthrie,H.A.&lt;/Authors_Primary&gt;&lt;Authors_Primary&gt;Scheer,J.C.&lt;/Authors_Primary&gt;&lt;Date_Primary&gt;1981/3&lt;/Date_Primary&gt;&lt;Keywords&gt;An&lt;/Keywords&gt;&lt;Keywords&gt;analysis&lt;/Keywords&gt;&lt;Keywords&gt;Diet&lt;/Keywords&gt;&lt;Keywords&gt;Diet Surveys&lt;/Keywords&gt;&lt;Keywords&gt;DIETARY&lt;/Keywords&gt;&lt;Keywords&gt;Energy Intake&lt;/Keywords&gt;&lt;Keywords&gt;Food&lt;/Keywords&gt;&lt;Keywords&gt;Humans&lt;/Keywords&gt;&lt;Keywords&gt;Im&lt;/Keywords&gt;&lt;Keywords&gt;Intake&lt;/Keywords&gt;&lt;Keywords&gt;Is&lt;/Keywords&gt;&lt;Keywords&gt;Nutrient&lt;/Keywords&gt;&lt;Keywords&gt;nutrient intake&lt;/Keywords&gt;&lt;Keywords&gt;Nutrition Surveys&lt;/Keywords&gt;&lt;Keywords&gt;Nutritional Physiological Phenomena&lt;/Keywords&gt;&lt;Keywords&gt;Nutritional Requirements&lt;/Keywords&gt;&lt;Keywords&gt;Program&lt;/Keywords&gt;&lt;Keywords&gt;Research&lt;/Keywords&gt;&lt;Keywords&gt;To&lt;/Keywords&gt;&lt;Reprint&gt;Not in File&lt;/Reprint&gt;&lt;Start_Page&gt;240&lt;/Start_Page&gt;&lt;End_Page&gt;245&lt;/End_Page&gt;&lt;Periodical&gt;J Am Diet Assoc.&lt;/Periodical&gt;&lt;Volume&gt;78&lt;/Volume&gt;&lt;Issue&gt;3&lt;/Issue&gt;&lt;Web_URL&gt;PM:7217578&lt;/Web_URL&gt;&lt;ZZ_JournalStdAbbrev&gt;&lt;f name="System"&gt;J Am Diet Assoc.&lt;/f&gt;&lt;/ZZ_JournalStdAbbrev&gt;&lt;ZZ_WorkformID&gt;1&lt;/ZZ_WorkformID&gt;&lt;/MDL&gt;&lt;/Cite&gt;&lt;/Refman&gt;</w:instrText>
      </w:r>
      <w:r w:rsidR="00FF17D2">
        <w:fldChar w:fldCharType="separate"/>
      </w:r>
      <w:r w:rsidR="006C5B2D">
        <w:t>[23]</w:t>
      </w:r>
      <w:r w:rsidR="00FF17D2">
        <w:fldChar w:fldCharType="end"/>
      </w:r>
      <w:r w:rsidRPr="00D836A2">
        <w:t>. In the present study, the MAR was calculated taking into account 23 nutrients (proteins, fiber, essential fatty acids, vitamins and minerals) as indicated in equation 1.</w:t>
      </w:r>
      <w:r w:rsidR="00FF17D2" w:rsidRPr="00D836A2">
        <w:rPr>
          <w:rFonts w:cs="Calibri"/>
          <w:sz w:val="24"/>
          <w:szCs w:val="24"/>
        </w:rPr>
        <w:fldChar w:fldCharType="begin"/>
      </w:r>
      <w:r w:rsidRPr="00D836A2">
        <w:rPr>
          <w:rFonts w:cs="Calibri"/>
          <w:sz w:val="24"/>
          <w:szCs w:val="24"/>
        </w:rPr>
        <w:instrText xml:space="preserve"> QUOTE </w:instrText>
      </w:r>
      <m:oMath>
        <m:r>
          <m:rPr>
            <m:sty m:val="p"/>
          </m:rPr>
          <w:rPr>
            <w:rFonts w:ascii="Cambria Math" w:hAnsi="Cambria Math" w:cs="Calibri"/>
            <w:sz w:val="30"/>
            <w:szCs w:val="30"/>
          </w:rPr>
          <m:t>MAR=</m:t>
        </m:r>
        <m:f>
          <m:fPr>
            <m:ctrlPr>
              <w:rPr>
                <w:rFonts w:ascii="Cambria Math" w:hAnsi="Cambria Math" w:cs="Calibri"/>
                <w:i/>
                <w:sz w:val="30"/>
              </w:rPr>
            </m:ctrlPr>
          </m:fPr>
          <m:num>
            <m:r>
              <m:rPr>
                <m:sty m:val="p"/>
              </m:rPr>
              <w:rPr>
                <w:rFonts w:ascii="Cambria Math" w:hAnsi="Cambria Math" w:cs="Calibri"/>
                <w:sz w:val="30"/>
                <w:szCs w:val="30"/>
              </w:rPr>
              <m:t>1</m:t>
            </m:r>
          </m:num>
          <m:den>
            <m:r>
              <m:rPr>
                <m:sty m:val="p"/>
              </m:rPr>
              <w:rPr>
                <w:rFonts w:ascii="Cambria Math" w:hAnsi="Cambria Math" w:cs="Calibri"/>
                <w:sz w:val="30"/>
                <w:szCs w:val="30"/>
              </w:rPr>
              <m:t>23</m:t>
            </m:r>
          </m:den>
        </m:f>
        <m:r>
          <m:rPr>
            <m:sty m:val="p"/>
          </m:rPr>
          <w:rPr>
            <w:rFonts w:ascii="Cambria Math" w:hAnsi="Cambria Math" w:cs="Calibri"/>
            <w:sz w:val="30"/>
            <w:szCs w:val="30"/>
          </w:rPr>
          <m:t>×</m:t>
        </m:r>
        <m:nary>
          <m:naryPr>
            <m:chr m:val="∑"/>
            <m:limLoc m:val="undOvr"/>
            <m:ctrlPr>
              <w:rPr>
                <w:rFonts w:ascii="Cambria Math" w:hAnsi="Cambria Math" w:cs="Calibri"/>
                <w:i/>
                <w:sz w:val="30"/>
              </w:rPr>
            </m:ctrlPr>
          </m:naryPr>
          <m:sub>
            <m:r>
              <m:rPr>
                <m:sty m:val="p"/>
              </m:rPr>
              <w:rPr>
                <w:rFonts w:ascii="Cambria Math" w:hAnsi="Cambria Math" w:cs="Calibri"/>
                <w:sz w:val="30"/>
                <w:szCs w:val="30"/>
              </w:rPr>
              <m:t>n=1</m:t>
            </m:r>
          </m:sub>
          <m:sup>
            <m:r>
              <m:rPr>
                <m:sty m:val="p"/>
              </m:rPr>
              <w:rPr>
                <w:rFonts w:ascii="Cambria Math" w:hAnsi="Cambria Math" w:cs="Calibri"/>
                <w:sz w:val="30"/>
                <w:szCs w:val="30"/>
              </w:rPr>
              <m:t>23</m:t>
            </m:r>
          </m:sup>
          <m:e>
            <m:f>
              <m:fPr>
                <m:ctrlPr>
                  <w:rPr>
                    <w:rFonts w:ascii="Cambria Math" w:hAnsi="Cambria Math" w:cs="Calibri"/>
                    <w:i/>
                    <w:sz w:val="30"/>
                  </w:rPr>
                </m:ctrlPr>
              </m:fPr>
              <m:num>
                <m:sSub>
                  <m:sSubPr>
                    <m:ctrlPr>
                      <w:rPr>
                        <w:rFonts w:ascii="Cambria Math" w:hAnsi="Cambria Math" w:cs="Calibri"/>
                        <w:i/>
                        <w:sz w:val="30"/>
                      </w:rPr>
                    </m:ctrlPr>
                  </m:sSubPr>
                  <m:e>
                    <m:r>
                      <m:rPr>
                        <m:sty m:val="p"/>
                      </m:rPr>
                      <w:rPr>
                        <w:rFonts w:ascii="Cambria Math" w:hAnsi="Cambria Math" w:cs="Calibri"/>
                        <w:sz w:val="30"/>
                        <w:szCs w:val="30"/>
                      </w:rPr>
                      <m:t>teneur</m:t>
                    </m:r>
                  </m:e>
                  <m:sub>
                    <m:r>
                      <m:rPr>
                        <m:sty m:val="p"/>
                      </m:rPr>
                      <w:rPr>
                        <w:rFonts w:ascii="Cambria Math" w:hAnsi="Cambria Math" w:cs="Calibri"/>
                        <w:sz w:val="30"/>
                        <w:szCs w:val="30"/>
                      </w:rPr>
                      <m:t>n</m:t>
                    </m:r>
                  </m:sub>
                </m:sSub>
              </m:num>
              <m:den>
                <m:sSub>
                  <m:sSubPr>
                    <m:ctrlPr>
                      <w:rPr>
                        <w:rFonts w:ascii="Cambria Math" w:hAnsi="Cambria Math" w:cs="Calibri"/>
                        <w:i/>
                        <w:sz w:val="30"/>
                      </w:rPr>
                    </m:ctrlPr>
                  </m:sSubPr>
                  <m:e>
                    <m:r>
                      <m:rPr>
                        <m:sty m:val="p"/>
                      </m:rPr>
                      <w:rPr>
                        <w:rFonts w:ascii="Cambria Math" w:hAnsi="Cambria Math" w:cs="Calibri"/>
                        <w:sz w:val="30"/>
                        <w:szCs w:val="30"/>
                      </w:rPr>
                      <m:t>reco</m:t>
                    </m:r>
                  </m:e>
                  <m:sub>
                    <m:r>
                      <m:rPr>
                        <m:sty m:val="p"/>
                      </m:rPr>
                      <w:rPr>
                        <w:rFonts w:ascii="Cambria Math" w:hAnsi="Cambria Math" w:cs="Calibri"/>
                        <w:sz w:val="30"/>
                        <w:szCs w:val="30"/>
                      </w:rPr>
                      <m:t>n</m:t>
                    </m:r>
                  </m:sub>
                </m:sSub>
                <m:r>
                  <m:rPr>
                    <m:sty m:val="p"/>
                  </m:rPr>
                  <w:rPr>
                    <w:rFonts w:ascii="Cambria Math" w:hAnsi="Cambria Math" w:cs="Calibri"/>
                    <w:sz w:val="30"/>
                    <w:szCs w:val="30"/>
                  </w:rPr>
                  <m:t>×20</m:t>
                </m:r>
              </m:den>
            </m:f>
          </m:e>
        </m:nary>
        <m:r>
          <m:rPr>
            <m:sty m:val="p"/>
          </m:rPr>
          <w:rPr>
            <w:rFonts w:ascii="Cambria Math" w:hAnsi="Cambria Math" w:cs="Calibri"/>
            <w:sz w:val="30"/>
            <w:szCs w:val="30"/>
          </w:rPr>
          <m:t>×100</m:t>
        </m:r>
      </m:oMath>
      <w:r w:rsidRPr="00D836A2">
        <w:rPr>
          <w:rFonts w:cs="Calibri"/>
          <w:sz w:val="24"/>
          <w:szCs w:val="24"/>
        </w:rPr>
        <w:instrText xml:space="preserve"> </w:instrText>
      </w:r>
      <w:r w:rsidR="00FF17D2" w:rsidRPr="00D836A2">
        <w:rPr>
          <w:rFonts w:cs="Calibri"/>
          <w:sz w:val="24"/>
          <w:szCs w:val="24"/>
        </w:rP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612"/>
      </w:tblGrid>
      <w:tr w:rsidR="00AF6BFE" w:rsidRPr="00D836A2" w:rsidTr="00AF6BFE">
        <w:tc>
          <w:tcPr>
            <w:tcW w:w="8222" w:type="dxa"/>
          </w:tcPr>
          <w:p w:rsidR="00AF6BFE" w:rsidRPr="00D836A2" w:rsidRDefault="00AF6BFE" w:rsidP="00AF6BFE">
            <w:pPr>
              <w:pStyle w:val="MDPI39equation"/>
            </w:pPr>
            <m:oMathPara>
              <m:oMath>
                <m:r>
                  <w:rPr>
                    <w:rFonts w:ascii="Cambria Math" w:hAnsi="Cambria Math"/>
                  </w:rPr>
                  <m:t>MAR</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23</m:t>
                    </m:r>
                  </m:den>
                </m:f>
                <m:r>
                  <m:rPr>
                    <m:sty m:val="p"/>
                  </m:rPr>
                  <w:rPr>
                    <w:rFonts w:ascii="Cambria Math" w:hAnsi="Cambria Math"/>
                  </w:rPr>
                  <m:t>×</m:t>
                </m:r>
                <m:nary>
                  <m:naryPr>
                    <m:chr m:val="∑"/>
                    <m:limLoc m:val="subSup"/>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23</m:t>
                    </m:r>
                  </m:sup>
                  <m:e>
                    <m:f>
                      <m:fPr>
                        <m:ctrlPr>
                          <w:rPr>
                            <w:rFonts w:ascii="Cambria Math" w:hAnsi="Cambria Math"/>
                          </w:rPr>
                        </m:ctrlPr>
                      </m:fPr>
                      <m:num>
                        <m:sSub>
                          <m:sSubPr>
                            <m:ctrlPr>
                              <w:rPr>
                                <w:rFonts w:ascii="Cambria Math" w:hAnsi="Cambria Math"/>
                              </w:rPr>
                            </m:ctrlPr>
                          </m:sSubPr>
                          <m:e>
                            <m:r>
                              <w:rPr>
                                <w:rFonts w:ascii="Cambria Math" w:hAnsi="Cambria Math"/>
                              </w:rPr>
                              <m:t>content</m:t>
                            </m:r>
                          </m:e>
                          <m:sub>
                            <m:r>
                              <w:rPr>
                                <w:rFonts w:ascii="Cambria Math" w:hAnsi="Cambria Math"/>
                              </w:rPr>
                              <m:t>n</m:t>
                            </m:r>
                          </m:sub>
                        </m:sSub>
                      </m:num>
                      <m:den>
                        <m:sSub>
                          <m:sSubPr>
                            <m:ctrlPr>
                              <w:rPr>
                                <w:rFonts w:ascii="Cambria Math" w:hAnsi="Cambria Math"/>
                              </w:rPr>
                            </m:ctrlPr>
                          </m:sSubPr>
                          <m:e>
                            <m:r>
                              <w:rPr>
                                <w:rFonts w:ascii="Cambria Math" w:hAnsi="Cambria Math"/>
                              </w:rPr>
                              <m:t>reco</m:t>
                            </m:r>
                          </m:e>
                          <m:sub>
                            <m:r>
                              <w:rPr>
                                <w:rFonts w:ascii="Cambria Math" w:hAnsi="Cambria Math"/>
                              </w:rPr>
                              <m:t>n</m:t>
                            </m:r>
                          </m:sub>
                        </m:sSub>
                        <m:r>
                          <m:rPr>
                            <m:sty m:val="p"/>
                          </m:rPr>
                          <w:rPr>
                            <w:rFonts w:ascii="Cambria Math" w:hAnsi="Cambria Math"/>
                          </w:rPr>
                          <m:t>×20</m:t>
                        </m:r>
                      </m:den>
                    </m:f>
                    <m:r>
                      <m:rPr>
                        <m:sty m:val="p"/>
                      </m:rPr>
                      <w:rPr>
                        <w:rFonts w:ascii="Cambria Math" w:hAnsi="Cambria Math"/>
                      </w:rPr>
                      <m:t>×100,</m:t>
                    </m:r>
                  </m:e>
                </m:nary>
              </m:oMath>
            </m:oMathPara>
          </w:p>
        </w:tc>
        <w:tc>
          <w:tcPr>
            <w:tcW w:w="612" w:type="dxa"/>
          </w:tcPr>
          <w:p w:rsidR="00AF6BFE" w:rsidRPr="00D836A2" w:rsidRDefault="00AF6BFE" w:rsidP="00AF6BFE">
            <w:pPr>
              <w:pStyle w:val="MDPI3aequationnumber"/>
            </w:pPr>
            <w:r w:rsidRPr="00D836A2">
              <w:t>(1)</w:t>
            </w:r>
          </w:p>
        </w:tc>
      </w:tr>
    </w:tbl>
    <w:p w:rsidR="002C5B09" w:rsidRPr="00D836A2" w:rsidRDefault="002C5B09" w:rsidP="005D10D8">
      <w:pPr>
        <w:pStyle w:val="MDPI31text"/>
      </w:pPr>
      <w:r w:rsidRPr="00D836A2">
        <w:lastRenderedPageBreak/>
        <w:t xml:space="preserve">where </w:t>
      </w:r>
      <w:r w:rsidRPr="00D836A2">
        <w:rPr>
          <w:i/>
        </w:rPr>
        <w:t>content</w:t>
      </w:r>
      <w:r w:rsidRPr="00D836A2">
        <w:rPr>
          <w:i/>
          <w:vertAlign w:val="subscript"/>
        </w:rPr>
        <w:t>n</w:t>
      </w:r>
      <w:r w:rsidRPr="00D836A2">
        <w:t xml:space="preserve"> is the </w:t>
      </w:r>
      <w:r w:rsidR="00755485" w:rsidRPr="00D836A2">
        <w:t xml:space="preserve">total </w:t>
      </w:r>
      <w:r w:rsidRPr="00D836A2">
        <w:t>amount of nutrient</w:t>
      </w:r>
      <w:r w:rsidRPr="00D836A2">
        <w:rPr>
          <w:i/>
          <w:vertAlign w:val="subscript"/>
        </w:rPr>
        <w:t>n</w:t>
      </w:r>
      <w:r w:rsidRPr="00D836A2">
        <w:t xml:space="preserve"> in the series of meals considered and </w:t>
      </w:r>
      <w:r w:rsidRPr="00D836A2">
        <w:rPr>
          <w:i/>
        </w:rPr>
        <w:t>reco</w:t>
      </w:r>
      <w:r w:rsidRPr="00D836A2">
        <w:rPr>
          <w:i/>
          <w:vertAlign w:val="subscript"/>
        </w:rPr>
        <w:t>n</w:t>
      </w:r>
      <w:r w:rsidRPr="00D836A2">
        <w:t xml:space="preserve"> is the recommended daily intake of this same nutrient. The recommended daily intake was multiplied by 20 to take into account the number of meals in the series. </w:t>
      </w:r>
    </w:p>
    <w:p w:rsidR="00AF6BFE" w:rsidRPr="00D836A2" w:rsidRDefault="002C5B09" w:rsidP="005D10D8">
      <w:pPr>
        <w:pStyle w:val="MDPI31text"/>
      </w:pPr>
      <w:r w:rsidRPr="00D836A2">
        <w:t xml:space="preserve">The recommended daily intakes applied in the present study for each of these nutrients are given in </w:t>
      </w:r>
      <w:r w:rsidRPr="00D836A2">
        <w:rPr>
          <w:b/>
        </w:rPr>
        <w:t xml:space="preserve">Table </w:t>
      </w:r>
      <w:r w:rsidR="00843590">
        <w:rPr>
          <w:b/>
        </w:rPr>
        <w:t>2</w:t>
      </w:r>
      <w:r w:rsidR="002731B9">
        <w:t>.</w:t>
      </w:r>
      <w:r w:rsidRPr="00D836A2">
        <w:t xml:space="preserve"> </w:t>
      </w:r>
      <w:r w:rsidR="002731B9">
        <w:t>T</w:t>
      </w:r>
      <w:r w:rsidRPr="00D836A2">
        <w:t xml:space="preserve">hese values were obtained by weighting the recommended dietary allowance in France </w:t>
      </w:r>
      <w:r w:rsidR="00FF17D2">
        <w:fldChar w:fldCharType="begin"/>
      </w:r>
      <w:r w:rsidR="006C5B2D">
        <w:instrText xml:space="preserve"> ADDIN REFMGR.CITE &lt;Refman&gt;&lt;Cite&gt;&lt;Author&gt;Martin&lt;/Author&gt;&lt;Year&gt;2001&lt;/Year&gt;&lt;RecNum&gt;1261&lt;/RecNum&gt;&lt;IDText&gt;Apports nutritionnels conseill&amp;#xE9;s pour la population fran&amp;#xE7;aise&lt;/IDText&gt;&lt;MDL Ref_Type="Book Chapter"&gt;&lt;Ref_Type&gt;Book Chapter&lt;/Ref_Type&gt;&lt;Ref_ID&gt;1261&lt;/Ref_ID&gt;&lt;Title_Primary&gt;Apports nutritionnels conseill&amp;#xE9;s pour la population fran&amp;#xE7;aise&lt;/Title_Primary&gt;&lt;Authors_Primary&gt;Martin,A.&lt;/Authors_Primary&gt;&lt;Date_Primary&gt;2001&lt;/Date_Primary&gt;&lt;Keywords&gt;population&lt;/Keywords&gt;&lt;Reprint&gt;Not in File&lt;/Reprint&gt;&lt;Volume&gt;3e&lt;/Volume&gt;&lt;Authors_Secondary&gt;Martin,A.&lt;/Authors_Secondary&gt;&lt;Issue&gt;605p&lt;/Issue&gt;&lt;Pub_Place&gt;Paris&lt;/Pub_Place&gt;&lt;Publisher&gt;Lavoisier&lt;/Publisher&gt;&lt;Title_Series&gt;Tec&amp;amp;Doc&lt;/Title_Series&gt;&lt;ZZ_WorkformID&gt;3&lt;/ZZ_WorkformID&gt;&lt;/MDL&gt;&lt;/Cite&gt;&lt;/Refman&gt;</w:instrText>
      </w:r>
      <w:r w:rsidR="00FF17D2">
        <w:fldChar w:fldCharType="separate"/>
      </w:r>
      <w:r w:rsidR="006C5B2D">
        <w:t>[24]</w:t>
      </w:r>
      <w:r w:rsidR="00FF17D2">
        <w:fldChar w:fldCharType="end"/>
      </w:r>
      <w:r w:rsidRPr="00D836A2">
        <w:t xml:space="preserve"> </w:t>
      </w:r>
      <w:r w:rsidR="001C6867" w:rsidRPr="00D836A2">
        <w:t xml:space="preserve">according to </w:t>
      </w:r>
      <w:r w:rsidRPr="00D836A2">
        <w:t xml:space="preserve">the age and gender </w:t>
      </w:r>
      <w:r w:rsidR="001C6867" w:rsidRPr="00D836A2">
        <w:t xml:space="preserve">representativeness </w:t>
      </w:r>
      <w:r w:rsidRPr="00D836A2">
        <w:t xml:space="preserve">of the population concerned, specifically children aged 4 to 13 years attending primary school </w:t>
      </w:r>
      <w:r w:rsidR="00FF17D2">
        <w:fldChar w:fldCharType="begin"/>
      </w:r>
      <w:r w:rsidR="006C5B2D">
        <w:instrText xml:space="preserve"> ADDIN REFMGR.CITE &lt;Refman&gt;&lt;Cite&gt;&lt;Author&gt;Minist&amp;#xE8;re de l&amp;apos;&amp;#xE9;ducation nationale de l&amp;apos;enseignement sup&amp;#xE9;rieur et de la recherche&lt;/Author&gt;&lt;Year&gt;2014&lt;/Year&gt;&lt;RecNum&gt;5112&lt;/RecNum&gt;&lt;IDText&gt;Rep&amp;#xE8;res et r&amp;#xE9;f&amp;#xE9;rences statistiques sur les enseignements, la formation et la recherche. &lt;/IDText&gt;&lt;MDL Ref_Type="Journal"&gt;&lt;Ref_Type&gt;Journal&lt;/Ref_Type&gt;&lt;Ref_ID&gt;5112&lt;/Ref_ID&gt;&lt;Title_Primary&gt;&lt;f name="Calibri"&gt;Rep&amp;#xE8;res et r&amp;#xE9;f&amp;#xE9;rences statistiques sur les enseignements, la formation et la recherche. &lt;/f&gt;&lt;/Title_Primary&gt;&lt;Authors_Primary&gt;Minist&amp;#xE8;re de l&amp;apos;&amp;#xE9;ducation nationale de l&amp;apos;enseignement sup&amp;#xE9;rieur et de la recherche&lt;/Authors_Primary&gt;&lt;Date_Primary&gt;2014&lt;/Date_Primary&gt;&lt;Keywords&gt;De&lt;/Keywords&gt;&lt;Keywords&gt;Et&lt;/Keywords&gt;&lt;Reprint&gt;In File&lt;/Reprint&gt;&lt;Start_Page&gt;437 p&lt;/Start_Page&gt;&lt;Periodical&gt;DEPP&lt;/Periodical&gt;&lt;Volume&gt;Paris&lt;/Volume&gt;&lt;ZZ_JournalFull&gt;&lt;f name="System"&gt;DEPP&lt;/f&gt;&lt;/ZZ_JournalFull&gt;&lt;ZZ_WorkformID&gt;1&lt;/ZZ_WorkformID&gt;&lt;/MDL&gt;&lt;/Cite&gt;&lt;/Refman&gt;</w:instrText>
      </w:r>
      <w:r w:rsidR="00FF17D2">
        <w:fldChar w:fldCharType="separate"/>
      </w:r>
      <w:r w:rsidR="006C5B2D">
        <w:t>[25]</w:t>
      </w:r>
      <w:r w:rsidR="00FF17D2">
        <w:fldChar w:fldCharType="end"/>
      </w:r>
      <w:r w:rsidRPr="00D836A2">
        <w:t xml:space="preserve">. </w:t>
      </w:r>
      <w:r w:rsidR="001C6867" w:rsidRPr="00D836A2">
        <w:t xml:space="preserve">For </w:t>
      </w:r>
      <w:r w:rsidR="00271930" w:rsidRPr="00D836A2">
        <w:t>example</w:t>
      </w:r>
      <w:r w:rsidR="001C6867" w:rsidRPr="00D836A2">
        <w:t xml:space="preserve">, </w:t>
      </w:r>
      <w:r w:rsidR="001301EC">
        <w:t xml:space="preserve">the </w:t>
      </w:r>
      <w:r w:rsidR="00271930" w:rsidRPr="00D836A2">
        <w:t>calcium recommendation in the present study (924 mg) was obtain</w:t>
      </w:r>
      <w:r w:rsidR="005B16D7" w:rsidRPr="00D836A2">
        <w:t>ed</w:t>
      </w:r>
      <w:r w:rsidR="00271930" w:rsidRPr="00D836A2">
        <w:t xml:space="preserve"> by </w:t>
      </w:r>
      <w:r w:rsidR="001C6867" w:rsidRPr="00D836A2">
        <w:t xml:space="preserve">considering </w:t>
      </w:r>
      <w:r w:rsidR="00271930" w:rsidRPr="00D836A2">
        <w:t>the age</w:t>
      </w:r>
      <w:r w:rsidR="001301EC">
        <w:t>-</w:t>
      </w:r>
      <w:r w:rsidR="00271930" w:rsidRPr="00D836A2">
        <w:t>specific recommendations</w:t>
      </w:r>
      <w:r w:rsidR="001C6867" w:rsidRPr="00D836A2">
        <w:t xml:space="preserve"> </w:t>
      </w:r>
      <w:r w:rsidR="00271930" w:rsidRPr="00D836A2">
        <w:t>(i.e</w:t>
      </w:r>
      <w:r w:rsidR="001301EC">
        <w:t>.</w:t>
      </w:r>
      <w:r w:rsidR="00271930" w:rsidRPr="00D836A2">
        <w:t xml:space="preserve"> </w:t>
      </w:r>
      <w:r w:rsidR="001C6867" w:rsidRPr="00D836A2">
        <w:t xml:space="preserve">700 mg </w:t>
      </w:r>
      <w:r w:rsidR="001301EC">
        <w:t>for 4- to 6-year-olds</w:t>
      </w:r>
      <w:r w:rsidR="001C6867" w:rsidRPr="00D836A2">
        <w:t xml:space="preserve">, 900 mg </w:t>
      </w:r>
      <w:r w:rsidR="001301EC">
        <w:t>for</w:t>
      </w:r>
      <w:r w:rsidR="001301EC" w:rsidRPr="00D836A2">
        <w:t xml:space="preserve"> </w:t>
      </w:r>
      <w:r w:rsidR="001C6867" w:rsidRPr="00D836A2">
        <w:t>7</w:t>
      </w:r>
      <w:r w:rsidR="001301EC">
        <w:t>-</w:t>
      </w:r>
      <w:r w:rsidR="001C6867" w:rsidRPr="00D836A2">
        <w:t xml:space="preserve"> to 9</w:t>
      </w:r>
      <w:r w:rsidR="001301EC">
        <w:t>-year-olds</w:t>
      </w:r>
      <w:r w:rsidR="001C6867" w:rsidRPr="00D836A2">
        <w:t xml:space="preserve"> and 1200 mg </w:t>
      </w:r>
      <w:r w:rsidR="001301EC">
        <w:t>for</w:t>
      </w:r>
      <w:r w:rsidR="001301EC" w:rsidRPr="00D836A2">
        <w:t xml:space="preserve"> </w:t>
      </w:r>
      <w:r w:rsidR="001C6867" w:rsidRPr="00D836A2">
        <w:t>10</w:t>
      </w:r>
      <w:r w:rsidR="001301EC">
        <w:t>-</w:t>
      </w:r>
      <w:r w:rsidR="001C6867" w:rsidRPr="00D836A2">
        <w:t xml:space="preserve"> to 13</w:t>
      </w:r>
      <w:r w:rsidR="001301EC">
        <w:t>-</w:t>
      </w:r>
      <w:r w:rsidR="001C6867" w:rsidRPr="00D836A2">
        <w:t>year</w:t>
      </w:r>
      <w:r w:rsidR="001301EC">
        <w:t>-</w:t>
      </w:r>
      <w:r w:rsidR="001C6867" w:rsidRPr="00D836A2">
        <w:t>old</w:t>
      </w:r>
      <w:r w:rsidR="001301EC">
        <w:t>s</w:t>
      </w:r>
      <w:r w:rsidR="00C83E36">
        <w:t>,</w:t>
      </w:r>
      <w:r w:rsidR="00271930" w:rsidRPr="00D836A2">
        <w:t xml:space="preserve"> </w:t>
      </w:r>
      <w:r w:rsidR="001301EC">
        <w:t>irrespective of</w:t>
      </w:r>
      <w:r w:rsidR="00271930" w:rsidRPr="00D836A2">
        <w:t xml:space="preserve"> gender)</w:t>
      </w:r>
      <w:r w:rsidR="001C6867" w:rsidRPr="00D836A2">
        <w:t xml:space="preserve"> an</w:t>
      </w:r>
      <w:r w:rsidR="00271930" w:rsidRPr="00D836A2">
        <w:t xml:space="preserve">d the representativeness of each age </w:t>
      </w:r>
      <w:r w:rsidR="001301EC">
        <w:t xml:space="preserve">bracket </w:t>
      </w:r>
      <w:r w:rsidR="00271930" w:rsidRPr="00D836A2">
        <w:t xml:space="preserve">(19.8%, 58.9% and 21.3% respectively). </w:t>
      </w:r>
      <w:r w:rsidRPr="00D836A2">
        <w:t xml:space="preserve">The MAR was calculated for each series of 20 meals since the series is the relevant unit in </w:t>
      </w:r>
      <w:r w:rsidR="001301EC">
        <w:t>the guidelines</w:t>
      </w:r>
      <w:r w:rsidRPr="00D836A2">
        <w:t xml:space="preserve">. The MAR was also expressed for 2000 kcal to have a view of the nutritional quality of the series assuming it was the sole dietary source for a benchmark daily energy need of 2000 kcal. In this second version of the MAR, each </w:t>
      </w:r>
      <w:r w:rsidRPr="00D836A2">
        <w:rPr>
          <w:i/>
        </w:rPr>
        <w:t>content</w:t>
      </w:r>
      <w:r w:rsidRPr="00D836A2">
        <w:rPr>
          <w:i/>
          <w:vertAlign w:val="subscript"/>
        </w:rPr>
        <w:t>n</w:t>
      </w:r>
      <w:r w:rsidRPr="00D836A2">
        <w:t xml:space="preserve"> was calculated for 2000</w:t>
      </w:r>
      <w:r w:rsidR="001301EC">
        <w:t xml:space="preserve"> </w:t>
      </w:r>
      <w:r w:rsidRPr="00D836A2">
        <w:t xml:space="preserve">kcal and </w:t>
      </w:r>
      <w:r w:rsidRPr="00D836A2">
        <w:rPr>
          <w:i/>
        </w:rPr>
        <w:t>reco</w:t>
      </w:r>
      <w:r w:rsidRPr="00D836A2">
        <w:rPr>
          <w:i/>
          <w:vertAlign w:val="subscript"/>
        </w:rPr>
        <w:t>n</w:t>
      </w:r>
      <w:r w:rsidRPr="00D836A2">
        <w:t xml:space="preserve"> was therefore</w:t>
      </w:r>
      <w:r w:rsidR="00AF6BFE" w:rsidRPr="00D836A2">
        <w:t xml:space="preserve"> not multiplied by 20</w:t>
      </w:r>
      <w:r w:rsidR="003E52C8" w:rsidRPr="00D836A2">
        <w:t>, as indicated in equation 2</w:t>
      </w:r>
      <w:r w:rsidR="00AF6BFE" w:rsidRPr="00D836A2">
        <w:t xml:space="preserve">. </w:t>
      </w:r>
    </w:p>
    <w:tbl>
      <w:tblPr>
        <w:tblStyle w:val="Grilledutableau"/>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17"/>
        <w:gridCol w:w="567"/>
      </w:tblGrid>
      <w:tr w:rsidR="00AF6BFE" w:rsidRPr="00D836A2" w:rsidTr="005B5243">
        <w:tc>
          <w:tcPr>
            <w:tcW w:w="8217" w:type="dxa"/>
          </w:tcPr>
          <w:p w:rsidR="00AF6BFE" w:rsidRPr="00D836A2" w:rsidRDefault="004E0E1A" w:rsidP="00295EE2">
            <w:pPr>
              <w:pStyle w:val="MDPI39equation"/>
              <w:rPr>
                <w:rFonts w:cs="Calibri"/>
                <w:sz w:val="24"/>
                <w:szCs w:val="24"/>
              </w:rPr>
            </w:pPr>
            <m:oMathPara>
              <m:oMath>
                <m:f>
                  <m:fPr>
                    <m:type m:val="lin"/>
                    <m:ctrlPr>
                      <w:rPr>
                        <w:rFonts w:ascii="Cambria Math" w:hAnsi="Cambria Math"/>
                      </w:rPr>
                    </m:ctrlPr>
                  </m:fPr>
                  <m:num>
                    <m:r>
                      <w:rPr>
                        <w:rFonts w:ascii="Cambria Math" w:hAnsi="Cambria Math"/>
                      </w:rPr>
                      <m:t>MAR</m:t>
                    </m:r>
                  </m:num>
                  <m:den>
                    <m:r>
                      <m:rPr>
                        <m:sty m:val="p"/>
                      </m:rPr>
                      <w:rPr>
                        <w:rFonts w:ascii="Cambria Math" w:hAnsi="Cambria Math"/>
                      </w:rPr>
                      <m:t>2000</m:t>
                    </m:r>
                    <m:r>
                      <w:rPr>
                        <w:rFonts w:ascii="Cambria Math" w:hAnsi="Cambria Math"/>
                      </w:rPr>
                      <m:t>kcal</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23</m:t>
                    </m:r>
                  </m:den>
                </m:f>
                <m:r>
                  <m:rPr>
                    <m:sty m:val="p"/>
                  </m:rPr>
                  <w:rPr>
                    <w:rFonts w:ascii="Cambria Math" w:hAnsi="Cambria Math"/>
                  </w:rPr>
                  <m:t>×</m:t>
                </m:r>
                <m:nary>
                  <m:naryPr>
                    <m:chr m:val="∑"/>
                    <m:limLoc m:val="subSup"/>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23</m:t>
                    </m:r>
                  </m:sup>
                  <m:e>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rPr>
                                  <m:t>content</m:t>
                                </m:r>
                              </m:e>
                              <m:sub>
                                <m:r>
                                  <w:rPr>
                                    <w:rFonts w:ascii="Cambria Math" w:hAnsi="Cambria Math"/>
                                  </w:rPr>
                                  <m:t>n</m:t>
                                </m:r>
                              </m:sub>
                            </m:sSub>
                          </m:num>
                          <m:den>
                            <m:r>
                              <w:rPr>
                                <w:rFonts w:ascii="Cambria Math" w:hAnsi="Cambria Math"/>
                              </w:rPr>
                              <m:t>nrj</m:t>
                            </m:r>
                          </m:den>
                        </m:f>
                        <m:r>
                          <m:rPr>
                            <m:sty m:val="p"/>
                          </m:rPr>
                          <w:rPr>
                            <w:rFonts w:ascii="Cambria Math" w:hAnsi="Cambria Math"/>
                          </w:rPr>
                          <m:t>×2000</m:t>
                        </m:r>
                      </m:num>
                      <m:den>
                        <m:sSub>
                          <m:sSubPr>
                            <m:ctrlPr>
                              <w:rPr>
                                <w:rFonts w:ascii="Cambria Math" w:hAnsi="Cambria Math"/>
                              </w:rPr>
                            </m:ctrlPr>
                          </m:sSubPr>
                          <m:e>
                            <m:r>
                              <w:rPr>
                                <w:rFonts w:ascii="Cambria Math" w:hAnsi="Cambria Math"/>
                              </w:rPr>
                              <m:t>reco</m:t>
                            </m:r>
                          </m:e>
                          <m:sub>
                            <m:r>
                              <w:rPr>
                                <w:rFonts w:ascii="Cambria Math" w:hAnsi="Cambria Math"/>
                              </w:rPr>
                              <m:t>n</m:t>
                            </m:r>
                          </m:sub>
                        </m:sSub>
                      </m:den>
                    </m:f>
                  </m:e>
                </m:nary>
                <m:r>
                  <m:rPr>
                    <m:sty m:val="p"/>
                  </m:rPr>
                  <w:rPr>
                    <w:rFonts w:ascii="Cambria Math" w:hAnsi="Cambria Math"/>
                  </w:rPr>
                  <m:t>×100,</m:t>
                </m:r>
              </m:oMath>
            </m:oMathPara>
          </w:p>
        </w:tc>
        <w:tc>
          <w:tcPr>
            <w:tcW w:w="567" w:type="dxa"/>
          </w:tcPr>
          <w:p w:rsidR="00AF6BFE" w:rsidRPr="00D836A2" w:rsidRDefault="00AF6BFE" w:rsidP="00AF6BFE">
            <w:pPr>
              <w:pStyle w:val="MDPI3aequationnumber"/>
            </w:pPr>
            <w:r w:rsidRPr="00D836A2">
              <w:t>(2)</w:t>
            </w:r>
          </w:p>
        </w:tc>
      </w:tr>
    </w:tbl>
    <w:p w:rsidR="002C5B09" w:rsidRPr="00D836A2" w:rsidRDefault="002C5B09" w:rsidP="007D096B">
      <w:pPr>
        <w:pStyle w:val="MDPI31text"/>
      </w:pPr>
      <w:r w:rsidRPr="00D836A2">
        <w:t xml:space="preserve">where </w:t>
      </w:r>
      <w:r w:rsidRPr="00D836A2">
        <w:rPr>
          <w:i/>
        </w:rPr>
        <w:t>content</w:t>
      </w:r>
      <w:r w:rsidRPr="00D836A2">
        <w:rPr>
          <w:i/>
          <w:vertAlign w:val="subscript"/>
        </w:rPr>
        <w:t>n</w:t>
      </w:r>
      <w:r w:rsidRPr="00D836A2">
        <w:t xml:space="preserve"> is the </w:t>
      </w:r>
      <w:r w:rsidR="00755485" w:rsidRPr="00D836A2">
        <w:t xml:space="preserve">total </w:t>
      </w:r>
      <w:r w:rsidRPr="00D836A2">
        <w:t xml:space="preserve">amount of nutrient </w:t>
      </w:r>
      <w:r w:rsidRPr="00D836A2">
        <w:rPr>
          <w:i/>
        </w:rPr>
        <w:t>n</w:t>
      </w:r>
      <w:r w:rsidRPr="00D836A2">
        <w:t xml:space="preserve"> in the series of meals considered, </w:t>
      </w:r>
      <w:r w:rsidRPr="00D836A2">
        <w:rPr>
          <w:i/>
        </w:rPr>
        <w:t>nrj</w:t>
      </w:r>
      <w:r w:rsidRPr="00D836A2">
        <w:t xml:space="preserve"> is the energy content of the series, and </w:t>
      </w:r>
      <w:r w:rsidRPr="00D836A2">
        <w:rPr>
          <w:i/>
        </w:rPr>
        <w:t>reco</w:t>
      </w:r>
      <w:r w:rsidRPr="00D836A2">
        <w:rPr>
          <w:i/>
          <w:vertAlign w:val="subscript"/>
        </w:rPr>
        <w:t>n</w:t>
      </w:r>
      <w:r w:rsidRPr="00D836A2">
        <w:t xml:space="preserve"> is the recommended daily intake of nutrient </w:t>
      </w:r>
      <w:r w:rsidRPr="00D836A2">
        <w:rPr>
          <w:i/>
        </w:rPr>
        <w:t>n</w:t>
      </w:r>
      <w:r w:rsidRPr="00D836A2">
        <w:t xml:space="preserve">. </w:t>
      </w:r>
    </w:p>
    <w:p w:rsidR="000E3BDE" w:rsidRPr="00FD7527" w:rsidRDefault="00376C3B" w:rsidP="007D096B">
      <w:pPr>
        <w:pStyle w:val="MDPI31text"/>
      </w:pPr>
      <w:r w:rsidRPr="004C2008">
        <w:rPr>
          <w:color w:val="000000" w:themeColor="text1"/>
        </w:rPr>
        <w:t xml:space="preserve">In both MAR and MAR/2000kcal, the ratio for each nutrient was truncated at 100 so that a high content of one nutrient could not compensate for the low intake of others </w:t>
      </w:r>
      <w:r w:rsidR="00FF17D2">
        <w:fldChar w:fldCharType="begin"/>
      </w:r>
      <w:r w:rsidR="00502F00">
        <w:instrText xml:space="preserve"> ADDIN REFMGR.CITE &lt;Refman&gt;&lt;Cite&gt;&lt;Author&gt;Guthrie&lt;/Author&gt;&lt;Year&gt;1981&lt;/Year&gt;&lt;RecNum&gt;4167&lt;/RecNum&gt;&lt;IDText&gt;Validity of a dietary score for assessing nutrient adequacy&lt;/IDText&gt;&lt;MDL Ref_Type="Journal"&gt;&lt;Ref_Type&gt;Journal&lt;/Ref_Type&gt;&lt;Ref_ID&gt;4167&lt;/Ref_ID&gt;&lt;Title_Primary&gt;Validity of a dietary score for assessing nutrient adequacy&lt;/Title_Primary&gt;&lt;Authors_Primary&gt;Guthrie,H.A.&lt;/Authors_Primary&gt;&lt;Authors_Primary&gt;Scheer,J.C.&lt;/Authors_Primary&gt;&lt;Date_Primary&gt;1981/3&lt;/Date_Primary&gt;&lt;Keywords&gt;An&lt;/Keywords&gt;&lt;Keywords&gt;analysis&lt;/Keywords&gt;&lt;Keywords&gt;Diet&lt;/Keywords&gt;&lt;Keywords&gt;Diet Surveys&lt;/Keywords&gt;&lt;Keywords&gt;DIETARY&lt;/Keywords&gt;&lt;Keywords&gt;Energy Intake&lt;/Keywords&gt;&lt;Keywords&gt;Food&lt;/Keywords&gt;&lt;Keywords&gt;Humans&lt;/Keywords&gt;&lt;Keywords&gt;Im&lt;/Keywords&gt;&lt;Keywords&gt;Intake&lt;/Keywords&gt;&lt;Keywords&gt;Is&lt;/Keywords&gt;&lt;Keywords&gt;Nutrient&lt;/Keywords&gt;&lt;Keywords&gt;nutrient intake&lt;/Keywords&gt;&lt;Keywords&gt;Nutrition Surveys&lt;/Keywords&gt;&lt;Keywords&gt;Nutritional Physiological Phenomena&lt;/Keywords&gt;&lt;Keywords&gt;Nutritional Requirements&lt;/Keywords&gt;&lt;Keywords&gt;Program&lt;/Keywords&gt;&lt;Keywords&gt;Research&lt;/Keywords&gt;&lt;Keywords&gt;To&lt;/Keywords&gt;&lt;Reprint&gt;Not in File&lt;/Reprint&gt;&lt;Start_Page&gt;240&lt;/Start_Page&gt;&lt;End_Page&gt;245&lt;/End_Page&gt;&lt;Periodical&gt;J Am Diet Assoc.&lt;/Periodical&gt;&lt;Volume&gt;78&lt;/Volume&gt;&lt;Issue&gt;3&lt;/Issue&gt;&lt;Web_URL&gt;PM:7217578&lt;/Web_URL&gt;&lt;ZZ_JournalStdAbbrev&gt;&lt;f name="System"&gt;J Am Diet Assoc.&lt;/f&gt;&lt;/ZZ_JournalStdAbbrev&gt;&lt;ZZ_WorkformID&gt;1&lt;/ZZ_WorkformID&gt;&lt;/MDL&gt;&lt;/Cite&gt;&lt;/Refman&gt;</w:instrText>
      </w:r>
      <w:r w:rsidR="00FF17D2">
        <w:fldChar w:fldCharType="separate"/>
      </w:r>
      <w:r w:rsidR="006C5B2D" w:rsidRPr="007D096B">
        <w:t>[23]</w:t>
      </w:r>
      <w:r w:rsidR="00FF17D2">
        <w:fldChar w:fldCharType="end"/>
      </w:r>
      <w:r w:rsidR="00FD7527" w:rsidRPr="007D096B">
        <w:t xml:space="preserve">. </w:t>
      </w:r>
      <w:r w:rsidR="002C5B09" w:rsidRPr="007D096B">
        <w:t>Thus, the MAR and MAR per 2000 kcal had a maximum theoretical score of 100.</w:t>
      </w:r>
      <w:r w:rsidR="00FD7527" w:rsidRPr="007D096B">
        <w:t xml:space="preserve"> </w:t>
      </w:r>
      <w:r w:rsidR="00502F00">
        <w:t xml:space="preserve">An example of calculation of MAR and MAR/2000kcal for one given series is provided in </w:t>
      </w:r>
      <w:r w:rsidR="00502F00">
        <w:rPr>
          <w:b/>
        </w:rPr>
        <w:t>Table A2</w:t>
      </w:r>
      <w:r w:rsidR="00502F00">
        <w:t>.</w:t>
      </w:r>
    </w:p>
    <w:p w:rsidR="002C5B09" w:rsidRPr="00D836A2" w:rsidRDefault="002C5B09" w:rsidP="005D10D8">
      <w:pPr>
        <w:pStyle w:val="MDPI31text"/>
      </w:pPr>
      <w:r w:rsidRPr="00D836A2">
        <w:t>The amount</w:t>
      </w:r>
      <w:r w:rsidR="002731B9">
        <w:t>s</w:t>
      </w:r>
      <w:r w:rsidRPr="00D836A2">
        <w:t xml:space="preserve"> of fats, saturated fatty acids and free sugars were also calculated. Free sugars are defined by the WHO as sugar added to foods plus sugars naturally present in honey, syrups and fruit juices</w:t>
      </w:r>
      <w:r w:rsidR="00D836A2" w:rsidRPr="00D836A2">
        <w:t xml:space="preserve"> </w:t>
      </w:r>
      <w:r w:rsidR="00FF17D2">
        <w:fldChar w:fldCharType="begin"/>
      </w:r>
      <w:r w:rsidR="006C5B2D">
        <w:instrText xml:space="preserve"> ADDIN REFMGR.CITE &lt;Refman&gt;&lt;Cite&gt;&lt;Author&gt;WHO&lt;/Author&gt;&lt;Year&gt;2003&lt;/Year&gt;&lt;RecNum&gt;1447&lt;/RecNum&gt;&lt;IDText&gt;Diet, nutrition and the prevention of excess weight gain and obesity. Report of a joint WHO/FAO expert consultation&lt;/IDText&gt;&lt;MDL Ref_Type="Journal"&gt;&lt;Ref_Type&gt;Journal&lt;/Ref_Type&gt;&lt;Ref_ID&gt;1447&lt;/Ref_ID&gt;&lt;Title_Primary&gt;Diet, nutrition and the prevention of excess weight gain and obesity. Report of a joint WHO/FAO expert consultation&lt;/Title_Primary&gt;&lt;Authors_Primary&gt;WHO&lt;/Authors_Primary&gt;&lt;Date_Primary&gt;2003&lt;/Date_Primary&gt;&lt;Keywords&gt;Chronic Disease&lt;/Keywords&gt;&lt;Keywords&gt;Diet&lt;/Keywords&gt;&lt;Keywords&gt;Nutrition&lt;/Keywords&gt;&lt;Keywords&gt;Obesity&lt;/Keywords&gt;&lt;Keywords&gt;weight&lt;/Keywords&gt;&lt;Keywords&gt;Weight Gain&lt;/Keywords&gt;&lt;Reprint&gt;Not in File&lt;/Reprint&gt;&lt;Periodical&gt;WHO, Geneva&lt;/Periodical&gt;&lt;Volume&gt;Technical report, series 916&lt;/Volume&gt;&lt;ZZ_JournalFull&gt;&lt;f name="System"&gt;WHO, Geneva&lt;/f&gt;&lt;/ZZ_JournalFull&gt;&lt;ZZ_WorkformID&gt;1&lt;/ZZ_WorkformID&gt;&lt;/MDL&gt;&lt;/Cite&gt;&lt;/Refman&gt;</w:instrText>
      </w:r>
      <w:r w:rsidR="00FF17D2">
        <w:fldChar w:fldCharType="separate"/>
      </w:r>
      <w:r w:rsidR="006C5B2D">
        <w:t>[26]</w:t>
      </w:r>
      <w:r w:rsidR="00FF17D2">
        <w:fldChar w:fldCharType="end"/>
      </w:r>
      <w:r w:rsidRPr="00D836A2">
        <w:t>.</w:t>
      </w:r>
      <w:r w:rsidR="009159BD">
        <w:t xml:space="preserve"> </w:t>
      </w:r>
    </w:p>
    <w:p w:rsidR="002C5B09" w:rsidRPr="00D836A2" w:rsidRDefault="002C5B09" w:rsidP="005D10D8">
      <w:pPr>
        <w:pStyle w:val="MDPI22heading2"/>
        <w:rPr>
          <w:noProof w:val="0"/>
        </w:rPr>
      </w:pPr>
      <w:r w:rsidRPr="00D836A2">
        <w:rPr>
          <w:noProof w:val="0"/>
        </w:rPr>
        <w:t xml:space="preserve">2.3. </w:t>
      </w:r>
      <w:r w:rsidR="001301EC">
        <w:rPr>
          <w:noProof w:val="0"/>
        </w:rPr>
        <w:t xml:space="preserve">FC Compliance </w:t>
      </w:r>
      <w:r w:rsidR="0098104E" w:rsidRPr="00D836A2">
        <w:rPr>
          <w:noProof w:val="0"/>
        </w:rPr>
        <w:t>Scores</w:t>
      </w:r>
    </w:p>
    <w:p w:rsidR="002C5B09" w:rsidRPr="00D836A2" w:rsidRDefault="002C5B09" w:rsidP="005D10D8">
      <w:pPr>
        <w:pStyle w:val="MDPI31text"/>
      </w:pPr>
      <w:r w:rsidRPr="00D836A2">
        <w:t xml:space="preserve">Two scores were developed to estimate </w:t>
      </w:r>
      <w:r w:rsidR="004D47DA">
        <w:t xml:space="preserve">the </w:t>
      </w:r>
      <w:r w:rsidRPr="00D836A2">
        <w:t xml:space="preserve">level of compliance with </w:t>
      </w:r>
      <w:r w:rsidR="0098104E" w:rsidRPr="00D836A2">
        <w:t>FC</w:t>
      </w:r>
      <w:r w:rsidRPr="00D836A2">
        <w:t>. The “</w:t>
      </w:r>
      <w:r w:rsidR="007824B6" w:rsidRPr="00D836A2">
        <w:t xml:space="preserve">Number </w:t>
      </w:r>
      <w:r w:rsidRPr="00D836A2">
        <w:t xml:space="preserve">of </w:t>
      </w:r>
      <w:r w:rsidR="00D856BE" w:rsidRPr="00D836A2">
        <w:t xml:space="preserve">FC </w:t>
      </w:r>
      <w:r w:rsidR="007824B6" w:rsidRPr="00D836A2">
        <w:t>Followed</w:t>
      </w:r>
      <w:r w:rsidRPr="00D836A2">
        <w:t xml:space="preserve">” </w:t>
      </w:r>
      <w:r w:rsidR="007824B6" w:rsidRPr="00D836A2">
        <w:t xml:space="preserve">score </w:t>
      </w:r>
      <w:r w:rsidRPr="00D836A2">
        <w:t xml:space="preserve">is the sum of 15 sub-scores corresponding to compliance with each of the 15 </w:t>
      </w:r>
      <w:r w:rsidR="00D856BE" w:rsidRPr="00D836A2">
        <w:t>FC</w:t>
      </w:r>
      <w:r w:rsidRPr="00D836A2">
        <w:t xml:space="preserve">. If the series complied with one criterion, a sub-score of 1 was assigned; if it did not comply, the sub-score was 0. </w:t>
      </w:r>
      <w:r w:rsidR="007824B6" w:rsidRPr="00D836A2">
        <w:t>S</w:t>
      </w:r>
      <w:r w:rsidRPr="00D836A2">
        <w:t xml:space="preserve">eries </w:t>
      </w:r>
      <w:r w:rsidR="004D47DA">
        <w:t>could</w:t>
      </w:r>
      <w:r w:rsidR="004D47DA" w:rsidRPr="00D836A2">
        <w:t xml:space="preserve"> </w:t>
      </w:r>
      <w:r w:rsidRPr="00D836A2">
        <w:t xml:space="preserve">therefore obtain a score ranging from 0 to 15. However, when the series </w:t>
      </w:r>
      <w:r w:rsidR="004D47DA">
        <w:t>did</w:t>
      </w:r>
      <w:r w:rsidR="004D47DA" w:rsidRPr="00D836A2">
        <w:t xml:space="preserve"> </w:t>
      </w:r>
      <w:r w:rsidRPr="00D836A2">
        <w:t xml:space="preserve">not comply with a frequency criterion, this score </w:t>
      </w:r>
      <w:r w:rsidR="004D47DA">
        <w:t>had</w:t>
      </w:r>
      <w:r w:rsidR="004D47DA" w:rsidRPr="00D836A2">
        <w:t xml:space="preserve"> </w:t>
      </w:r>
      <w:r w:rsidRPr="00D836A2">
        <w:t xml:space="preserve">the inconvenience of not taking into account distance from </w:t>
      </w:r>
      <w:r w:rsidR="00FA09F5" w:rsidRPr="00D836A2">
        <w:t xml:space="preserve">expected </w:t>
      </w:r>
      <w:r w:rsidRPr="00D836A2">
        <w:t>frequency. For this reason, another score, called the “</w:t>
      </w:r>
      <w:r w:rsidR="007824B6" w:rsidRPr="00D836A2">
        <w:t>R</w:t>
      </w:r>
      <w:r w:rsidRPr="00D836A2">
        <w:t xml:space="preserve">elative </w:t>
      </w:r>
      <w:r w:rsidR="007824B6" w:rsidRPr="00D836A2">
        <w:t>Compliance Score</w:t>
      </w:r>
      <w:r w:rsidRPr="00D836A2">
        <w:t xml:space="preserve">” was developed. This score also ranges from 0 to 15 and is the sum of 15 sub-scores corresponding to compliance with each of the 15 </w:t>
      </w:r>
      <w:r w:rsidR="0098104E" w:rsidRPr="00D836A2">
        <w:t>FC</w:t>
      </w:r>
      <w:r w:rsidRPr="00D836A2">
        <w:t xml:space="preserve">. However, when a criterion was not met, a sub-score of less than 1, but as close to 1 as the observed frequency was close to </w:t>
      </w:r>
      <w:r w:rsidR="00FA09F5" w:rsidRPr="00D836A2">
        <w:t xml:space="preserve">expected </w:t>
      </w:r>
      <w:r w:rsidRPr="00D836A2">
        <w:t xml:space="preserve">frequency, was assigned. In this case, the sub-score </w:t>
      </w:r>
      <w:r w:rsidR="004D47DA">
        <w:t>was</w:t>
      </w:r>
      <w:r w:rsidR="004D47DA" w:rsidRPr="00D836A2">
        <w:t xml:space="preserve"> </w:t>
      </w:r>
      <w:r w:rsidRPr="00D836A2">
        <w:t xml:space="preserve">equal to (1 minus the absolute value of the relative gap), with the relative gap equaling [(observed frequency minus recommended frequency)/recommended frequency]. </w:t>
      </w:r>
    </w:p>
    <w:p w:rsidR="002C5B09" w:rsidRPr="00D836A2" w:rsidRDefault="002C5B09" w:rsidP="005D10D8">
      <w:pPr>
        <w:pStyle w:val="MDPI31text"/>
      </w:pPr>
      <w:r w:rsidRPr="00D836A2">
        <w:t>For example, for the “starter containing more than 15% fat: 4/</w:t>
      </w:r>
      <w:r w:rsidR="00FA09F5" w:rsidRPr="00D836A2">
        <w:t xml:space="preserve">20 </w:t>
      </w:r>
      <w:r w:rsidRPr="00D836A2">
        <w:t>max” criterion, a series containing four starters of this type receive</w:t>
      </w:r>
      <w:r w:rsidR="00D917B4">
        <w:t>d</w:t>
      </w:r>
      <w:r w:rsidRPr="00D836A2">
        <w:t xml:space="preserve"> a sub-score of 1 for each of the two scores; a series that contain</w:t>
      </w:r>
      <w:r w:rsidR="00D917B4">
        <w:t>ed</w:t>
      </w:r>
      <w:r w:rsidRPr="00D836A2">
        <w:t xml:space="preserve"> 5 starters of this type receive</w:t>
      </w:r>
      <w:r w:rsidR="00D917B4">
        <w:t>d</w:t>
      </w:r>
      <w:r w:rsidRPr="00D836A2">
        <w:t xml:space="preserve"> a sub-score of 0 for the first score and a sub-score of 0.75 for the second score; and a series that contain</w:t>
      </w:r>
      <w:r w:rsidR="00D917B4">
        <w:t>ed</w:t>
      </w:r>
      <w:r w:rsidRPr="00D836A2">
        <w:t xml:space="preserve"> 7 starters of this type obtain</w:t>
      </w:r>
      <w:r w:rsidR="00D917B4">
        <w:t>ed</w:t>
      </w:r>
      <w:r w:rsidRPr="00D836A2">
        <w:t xml:space="preserve"> a sub-score of 0 for the first score and a sub-score of 0.</w:t>
      </w:r>
      <w:r w:rsidR="00295EE2" w:rsidRPr="00D836A2">
        <w:t xml:space="preserve">25 </w:t>
      </w:r>
      <w:r w:rsidRPr="00D836A2">
        <w:t xml:space="preserve">for the second score. </w:t>
      </w:r>
    </w:p>
    <w:p w:rsidR="002C5B09" w:rsidRPr="00D836A2" w:rsidRDefault="002C5B09" w:rsidP="005D10D8">
      <w:pPr>
        <w:pStyle w:val="MDPI22heading2"/>
        <w:rPr>
          <w:noProof w:val="0"/>
        </w:rPr>
      </w:pPr>
      <w:r w:rsidRPr="00D836A2">
        <w:rPr>
          <w:noProof w:val="0"/>
        </w:rPr>
        <w:t>2.4. Generating Simulated Series</w:t>
      </w:r>
    </w:p>
    <w:p w:rsidR="009F0217" w:rsidRPr="00D836A2" w:rsidRDefault="00C70EBE" w:rsidP="00FA09F5">
      <w:pPr>
        <w:pStyle w:val="MDPI31text"/>
      </w:pPr>
      <w:r w:rsidRPr="00D836A2">
        <w:t>Simulations were performed to analy</w:t>
      </w:r>
      <w:r w:rsidR="00D836A2" w:rsidRPr="00D836A2">
        <w:t>z</w:t>
      </w:r>
      <w:r w:rsidRPr="00D836A2">
        <w:t>e the relationship between compliance with FC and nutritional quality</w:t>
      </w:r>
      <w:r w:rsidR="00F86BCB">
        <w:t>. This was done</w:t>
      </w:r>
      <w:r w:rsidRPr="00D836A2">
        <w:t xml:space="preserve"> because of the anticipated absence, in the observed sample, of </w:t>
      </w:r>
      <w:r w:rsidRPr="00D836A2">
        <w:lastRenderedPageBreak/>
        <w:t xml:space="preserve">series complying with all 15 FC and of series not complying at all, as well as of series without meat or fish. </w:t>
      </w:r>
      <w:r w:rsidR="002C5B09" w:rsidRPr="00D836A2">
        <w:t xml:space="preserve">Five different situations were simulated using the five scenarios </w:t>
      </w:r>
      <w:r w:rsidR="00D44BF5">
        <w:t>(Figure 1)</w:t>
      </w:r>
      <w:r w:rsidR="002C5B09" w:rsidRPr="00C83E36">
        <w:t>.</w:t>
      </w:r>
    </w:p>
    <w:p w:rsidR="00FF432A" w:rsidRDefault="00FF432A" w:rsidP="004C2008">
      <w:pPr>
        <w:pStyle w:val="MDPI51figurecaption"/>
        <w:rPr>
          <w:b/>
        </w:rPr>
      </w:pPr>
    </w:p>
    <w:p w:rsidR="00670D83" w:rsidRDefault="00352669">
      <w:pPr>
        <w:pStyle w:val="MDPI51figurecaption"/>
      </w:pPr>
      <w:r w:rsidRPr="00352669">
        <w:rPr>
          <w:rFonts w:ascii="Times New Roman" w:hAnsi="Times New Roman"/>
          <w:snapToGrid w:val="0"/>
          <w:w w:val="0"/>
          <w:sz w:val="0"/>
          <w:szCs w:val="0"/>
          <w:u w:color="000000"/>
          <w:bdr w:val="none" w:sz="0" w:space="0" w:color="000000"/>
          <w:shd w:val="clear" w:color="000000" w:fill="000000"/>
        </w:rPr>
        <w:t xml:space="preserve"> </w:t>
      </w:r>
      <w:r w:rsidR="00250BB8">
        <w:rPr>
          <w:noProof/>
          <w:lang w:val="fr-FR" w:eastAsia="fr-FR" w:bidi="ar-SA"/>
        </w:rPr>
        <w:drawing>
          <wp:inline distT="0" distB="0" distL="0" distR="0">
            <wp:extent cx="5295736" cy="2838450"/>
            <wp:effectExtent l="19050" t="0" r="0" b="0"/>
            <wp:docPr id="3" name="Image 3" descr="C:\MS-NUTRITION\PROJET\CIV\REDACTION\ecriture papier\A soumettre\civ review round 3\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NUTRITION\PROJET\CIV\REDACTION\ecriture papier\A soumettre\civ review round 3\figur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8586" cy="2845338"/>
                    </a:xfrm>
                    <a:prstGeom prst="rect">
                      <a:avLst/>
                    </a:prstGeom>
                    <a:noFill/>
                    <a:ln>
                      <a:noFill/>
                    </a:ln>
                  </pic:spPr>
                </pic:pic>
              </a:graphicData>
            </a:graphic>
          </wp:inline>
        </w:drawing>
      </w:r>
      <w:r w:rsidRPr="00352669">
        <w:t xml:space="preserve"> </w:t>
      </w:r>
      <w:r w:rsidR="00E52B30" w:rsidRPr="004C2008">
        <w:t>Figure 1.</w:t>
      </w:r>
      <w:r w:rsidR="00E52B30">
        <w:t xml:space="preserve"> Overview of the m</w:t>
      </w:r>
      <w:r w:rsidR="009F0217" w:rsidRPr="00D836A2">
        <w:t xml:space="preserve">ethodology used to generate simulated series of </w:t>
      </w:r>
      <w:r w:rsidR="00C83E36">
        <w:t xml:space="preserve">20 consecutive </w:t>
      </w:r>
      <w:r w:rsidR="009F0217" w:rsidRPr="00D836A2">
        <w:t xml:space="preserve">meals (based on 40 observed series), according to five scenarios of compliance and non-compliance with the 15 frequency criteria (FC) </w:t>
      </w:r>
      <w:r w:rsidR="002731B9">
        <w:t>in</w:t>
      </w:r>
      <w:r w:rsidR="009F0217" w:rsidRPr="00D836A2">
        <w:t xml:space="preserve"> French school </w:t>
      </w:r>
      <w:r w:rsidR="002731B9">
        <w:t>food</w:t>
      </w:r>
      <w:r w:rsidR="009F0217" w:rsidRPr="00D836A2">
        <w:t xml:space="preserve"> guidelines</w:t>
      </w:r>
      <w:r w:rsidR="00F86BCB">
        <w:t>.</w:t>
      </w:r>
    </w:p>
    <w:p w:rsidR="000B78B4" w:rsidRPr="00D836A2" w:rsidRDefault="002C5B09" w:rsidP="00FA09F5">
      <w:pPr>
        <w:pStyle w:val="MDPI31text"/>
      </w:pPr>
      <w:r w:rsidRPr="00D836A2">
        <w:t xml:space="preserve">For each scenario, 1,600 series of meals were generated, corresponding to 32,000 meals in each scenario, or 160,000 meals in all. For all the scenarios, only recommended amounts were applied to the weight of each dish in the simulations in order to study the </w:t>
      </w:r>
      <w:r w:rsidR="00FA09F5" w:rsidRPr="00D836A2">
        <w:t xml:space="preserve">nutritional impact </w:t>
      </w:r>
      <w:r w:rsidRPr="00D836A2">
        <w:t xml:space="preserve">of </w:t>
      </w:r>
      <w:r w:rsidR="0098104E" w:rsidRPr="00D836A2">
        <w:t>FC</w:t>
      </w:r>
      <w:r w:rsidR="002731B9" w:rsidRPr="002731B9">
        <w:t xml:space="preserve"> </w:t>
      </w:r>
      <w:r w:rsidR="002731B9" w:rsidRPr="00D836A2">
        <w:t>specifically</w:t>
      </w:r>
      <w:r w:rsidR="00F86BCB">
        <w:t xml:space="preserve"> (</w:t>
      </w:r>
      <w:r w:rsidR="00A8772A">
        <w:t>i.e.</w:t>
      </w:r>
      <w:r w:rsidRPr="00D836A2">
        <w:t xml:space="preserve">, without </w:t>
      </w:r>
      <w:r w:rsidR="002731B9">
        <w:t xml:space="preserve">the </w:t>
      </w:r>
      <w:r w:rsidRPr="00D836A2">
        <w:t>portion sizes actually served in the observed series interfering with the results</w:t>
      </w:r>
      <w:r w:rsidR="00F86BCB">
        <w:t>)</w:t>
      </w:r>
      <w:r w:rsidRPr="00D836A2">
        <w:t xml:space="preserve">. </w:t>
      </w:r>
      <w:r w:rsidR="00FA09F5" w:rsidRPr="00D836A2">
        <w:t xml:space="preserve">Methodological details for the simulations are provided in </w:t>
      </w:r>
      <w:r w:rsidR="00FA09F5" w:rsidRPr="00034AB4">
        <w:t xml:space="preserve">Appendix </w:t>
      </w:r>
      <w:r w:rsidR="009159BD">
        <w:t>A</w:t>
      </w:r>
      <w:r w:rsidR="00FA09F5" w:rsidRPr="00D836A2">
        <w:t>.</w:t>
      </w:r>
    </w:p>
    <w:p w:rsidR="002C5B09" w:rsidRPr="00D836A2" w:rsidRDefault="002C5B09" w:rsidP="005D10D8">
      <w:pPr>
        <w:pStyle w:val="MDPI22heading2"/>
        <w:rPr>
          <w:noProof w:val="0"/>
        </w:rPr>
      </w:pPr>
      <w:r w:rsidRPr="00D836A2">
        <w:rPr>
          <w:noProof w:val="0"/>
        </w:rPr>
        <w:t>2.5. Statistical Analysis</w:t>
      </w:r>
    </w:p>
    <w:p w:rsidR="002C5B09" w:rsidRPr="00D836A2" w:rsidRDefault="002C5B09" w:rsidP="005D10D8">
      <w:pPr>
        <w:pStyle w:val="MDPI31text"/>
      </w:pPr>
      <w:r w:rsidRPr="00D836A2">
        <w:t xml:space="preserve">The distribution of the number of </w:t>
      </w:r>
      <w:r w:rsidR="000A6F0E" w:rsidRPr="00D836A2">
        <w:t>FC</w:t>
      </w:r>
      <w:r w:rsidRPr="00D836A2">
        <w:t xml:space="preserve"> followed in the 40 observed series was calculated</w:t>
      </w:r>
      <w:r w:rsidR="00D856BE" w:rsidRPr="00D836A2">
        <w:t>,</w:t>
      </w:r>
      <w:r w:rsidRPr="00D836A2">
        <w:t xml:space="preserve"> as well as the percentage of series complying with each criterion. </w:t>
      </w:r>
      <w:r w:rsidR="002731B9">
        <w:t>N</w:t>
      </w:r>
      <w:r w:rsidRPr="00D836A2">
        <w:t xml:space="preserve">utritional values were calculated for each </w:t>
      </w:r>
      <w:r w:rsidR="002731B9">
        <w:t xml:space="preserve">20-meal </w:t>
      </w:r>
      <w:r w:rsidRPr="00D836A2">
        <w:t xml:space="preserve">series because the series is the relevant unit in </w:t>
      </w:r>
      <w:r w:rsidR="002731B9">
        <w:t>the guidelines</w:t>
      </w:r>
      <w:r w:rsidRPr="00D836A2">
        <w:t>. Some results were presented after being divided by 20, to obtain a “per meal” figure that can be interpreted more directly.</w:t>
      </w:r>
    </w:p>
    <w:p w:rsidR="002C5B09" w:rsidRPr="00D836A2" w:rsidRDefault="002C5B09" w:rsidP="005D10D8">
      <w:pPr>
        <w:pStyle w:val="MDPI31text"/>
      </w:pPr>
      <w:r w:rsidRPr="00D836A2">
        <w:t>For macronutrients, the values were expressed as a percentage of energy content. For fiber, vitamins and minerals, the values were expressed as a percentage of recommended daily nutrient intakes and compared to the percentage of recommended daily energy intake</w:t>
      </w:r>
      <w:r w:rsidR="003E52C8" w:rsidRPr="00D836A2">
        <w:t xml:space="preserve"> provided by the series, assuming that good nutritional density would be </w:t>
      </w:r>
      <w:r w:rsidR="002731B9">
        <w:t>achieved</w:t>
      </w:r>
      <w:r w:rsidR="002731B9" w:rsidRPr="00D836A2">
        <w:t xml:space="preserve"> </w:t>
      </w:r>
      <w:r w:rsidR="003E52C8" w:rsidRPr="00D836A2">
        <w:t xml:space="preserve">when the percentage of recommended daily nutrient intakes </w:t>
      </w:r>
      <w:r w:rsidR="002731B9">
        <w:t>was</w:t>
      </w:r>
      <w:r w:rsidR="002731B9" w:rsidRPr="00D836A2">
        <w:t xml:space="preserve"> </w:t>
      </w:r>
      <w:r w:rsidR="003E52C8" w:rsidRPr="00D836A2">
        <w:t xml:space="preserve">higher than the percentage of recommended daily energy. This was done by analogy </w:t>
      </w:r>
      <w:r w:rsidR="002731B9">
        <w:t>with</w:t>
      </w:r>
      <w:r w:rsidR="002731B9" w:rsidRPr="00D836A2">
        <w:t xml:space="preserve"> </w:t>
      </w:r>
      <w:r w:rsidR="003E52C8" w:rsidRPr="00D836A2">
        <w:t>the concept of nutritious food defined as food</w:t>
      </w:r>
      <w:r w:rsidR="002731B9">
        <w:t>s that provide</w:t>
      </w:r>
      <w:r w:rsidR="003E52C8" w:rsidRPr="00D836A2">
        <w:t xml:space="preserve"> proportionally more nutrients to favor than calories </w:t>
      </w:r>
      <w:r w:rsidR="00FF17D2">
        <w:fldChar w:fldCharType="begin"/>
      </w:r>
      <w:r w:rsidR="006C5B2D">
        <w:instrText xml:space="preserve"> ADDIN REFMGR.CITE &lt;Refman&gt;&lt;Cite&gt;&lt;Author&gt;Drewnowski&lt;/Author&gt;&lt;Year&gt;2005&lt;/Year&gt;&lt;RecNum&gt;3047&lt;/RecNum&gt;&lt;IDText&gt;Concept of a nutritious food: toward a nutrient density score&lt;/IDText&gt;&lt;MDL Ref_Type="Journal"&gt;&lt;Ref_Type&gt;Journal&lt;/Ref_Type&gt;&lt;Ref_ID&gt;3047&lt;/Ref_ID&gt;&lt;Title_Primary&gt;Concept of a nutritious food: toward a nutrient density score&lt;/Title_Primary&gt;&lt;Authors_Primary&gt;Drewnowski,A.&lt;/Authors_Primary&gt;&lt;Date_Primary&gt;2005/10&lt;/Date_Primary&gt;&lt;Keywords&gt;Diet&lt;/Keywords&gt;&lt;Keywords&gt;DIETARY&lt;/Keywords&gt;&lt;Keywords&gt;Education&lt;/Keywords&gt;&lt;Keywords&gt;Energy&lt;/Keywords&gt;&lt;Keywords&gt;Food&lt;/Keywords&gt;&lt;Keywords&gt;Food Labeling&lt;/Keywords&gt;&lt;Keywords&gt;Guidelines&lt;/Keywords&gt;&lt;Keywords&gt;health&lt;/Keywords&gt;&lt;Keywords&gt;Im&lt;/Keywords&gt;&lt;Keywords&gt;Indexes&lt;/Keywords&gt;&lt;Keywords&gt;Is&lt;/Keywords&gt;&lt;Keywords&gt;Nutrient&lt;/Keywords&gt;&lt;Keywords&gt;Nutrition&lt;/Keywords&gt;&lt;Keywords&gt;Nutritional Sciences&lt;/Keywords&gt;&lt;Keywords&gt;Program&lt;/Keywords&gt;&lt;Keywords&gt;Public Health&lt;/Keywords&gt;&lt;Keywords&gt;standards&lt;/Keywords&gt;&lt;Keywords&gt;To&lt;/Keywords&gt;&lt;Keywords&gt;trends&lt;/Keywords&gt;&lt;Keywords&gt;Universities&lt;/Keywords&gt;&lt;Keywords&gt;Washington&lt;/Keywords&gt;&lt;Reprint&gt;Not in File&lt;/Reprint&gt;&lt;Start_Page&gt;721&lt;/Start_Page&gt;&lt;End_Page&gt;732&lt;/End_Page&gt;&lt;Periodical&gt;Am.J.Clin.Nutr.&lt;/Periodical&gt;&lt;Volume&gt;82&lt;/Volume&gt;&lt;Issue&gt;4&lt;/Issue&gt;&lt;Address&gt;Nutritional Sciences Program and the Center for Public Health Nutrition, School of Public Health and Community Medicine, University of Washington, Seattle, WA&lt;/Address&gt;&lt;Web_URL&gt;PM:16210699&lt;/Web_URL&gt;&lt;ZZ_JournalFull&gt;&lt;f name="System"&gt;American Journal of Clinical Nutrition&lt;/f&gt;&lt;/ZZ_JournalFull&gt;&lt;ZZ_JournalStdAbbrev&gt;&lt;f name="System"&gt;Am.J.Clin.Nutr.&lt;/f&gt;&lt;/ZZ_JournalStdAbbrev&gt;&lt;ZZ_WorkformID&gt;1&lt;/ZZ_WorkformID&gt;&lt;/MDL&gt;&lt;/Cite&gt;&lt;/Refman&gt;</w:instrText>
      </w:r>
      <w:r w:rsidR="00FF17D2">
        <w:fldChar w:fldCharType="separate"/>
      </w:r>
      <w:r w:rsidR="006C5B2D">
        <w:t>[27]</w:t>
      </w:r>
      <w:r w:rsidR="00FF17D2">
        <w:fldChar w:fldCharType="end"/>
      </w:r>
      <w:r w:rsidRPr="00D836A2">
        <w:t xml:space="preserve">. In </w:t>
      </w:r>
      <w:r w:rsidR="003E52C8" w:rsidRPr="00D836A2">
        <w:t>scenario 1</w:t>
      </w:r>
      <w:r w:rsidRPr="00D836A2">
        <w:t xml:space="preserve"> </w:t>
      </w:r>
      <w:r w:rsidR="003E52C8" w:rsidRPr="00D836A2">
        <w:t>(</w:t>
      </w:r>
      <w:r w:rsidRPr="00D836A2">
        <w:t>“Compliance with Observed Series”</w:t>
      </w:r>
      <w:r w:rsidR="003E52C8" w:rsidRPr="00D836A2">
        <w:t>)</w:t>
      </w:r>
      <w:r w:rsidRPr="00D836A2">
        <w:t xml:space="preserve">, the association between </w:t>
      </w:r>
      <w:r w:rsidR="000A6F0E" w:rsidRPr="00D836A2">
        <w:t>FC</w:t>
      </w:r>
      <w:r w:rsidRPr="00D836A2">
        <w:t xml:space="preserve"> compliance scores and nutritional quality (estimated by MAR/2000 kcal) was analyzed, represented by point clouds and tested by Spearman correlation coefficients. Finally, the averages for MAR/2000 kcal, fat content, saturated fatty acid content, and free sugar content were compared across the five scenarios using Bonferroni-adjusted General Linear Model (GLM) statistical analysis. The variations </w:t>
      </w:r>
      <w:r w:rsidR="002731B9">
        <w:t>in</w:t>
      </w:r>
      <w:r w:rsidR="002731B9" w:rsidRPr="00D836A2">
        <w:t xml:space="preserve"> </w:t>
      </w:r>
      <w:r w:rsidRPr="00D836A2">
        <w:t>these indicators across the different scenarios were also compared to verify the spread difference of certain distributions.</w:t>
      </w:r>
    </w:p>
    <w:p w:rsidR="00885BB0" w:rsidRPr="00D836A2" w:rsidRDefault="00885BB0" w:rsidP="005D10D8">
      <w:pPr>
        <w:pStyle w:val="MDPI21heading1"/>
      </w:pPr>
      <w:r w:rsidRPr="00D836A2">
        <w:lastRenderedPageBreak/>
        <w:t>3. Results</w:t>
      </w:r>
    </w:p>
    <w:p w:rsidR="002C5B09" w:rsidRPr="00D836A2" w:rsidRDefault="002C5B09" w:rsidP="005D10D8">
      <w:pPr>
        <w:pStyle w:val="MDPI22heading2"/>
        <w:rPr>
          <w:noProof w:val="0"/>
        </w:rPr>
      </w:pPr>
      <w:r w:rsidRPr="00D836A2">
        <w:rPr>
          <w:noProof w:val="0"/>
        </w:rPr>
        <w:t>3.1. Distribution of Dishes in the Observed Series</w:t>
      </w:r>
    </w:p>
    <w:p w:rsidR="002C5B09" w:rsidRPr="00D836A2" w:rsidRDefault="002C5B09" w:rsidP="005D10D8">
      <w:pPr>
        <w:pStyle w:val="MDPI31text"/>
      </w:pPr>
      <w:r w:rsidRPr="00D836A2">
        <w:t xml:space="preserve">The starters were above all composed of vegetables; protein dishes were composed mainly of pork, poultry, beef, veal, lamb or fish; dairy products were mostly cheese; side </w:t>
      </w:r>
      <w:r w:rsidR="000E3BDE">
        <w:t xml:space="preserve">dishes </w:t>
      </w:r>
      <w:r w:rsidRPr="00D836A2">
        <w:t>contained starches and vegetables; and desserts were mainly fruit, and less often sugar products and dairy desserts (</w:t>
      </w:r>
      <w:r w:rsidR="00E32C95" w:rsidRPr="00D836A2">
        <w:t>Table A1</w:t>
      </w:r>
      <w:r w:rsidRPr="00D836A2">
        <w:t>).</w:t>
      </w:r>
    </w:p>
    <w:p w:rsidR="002C5B09" w:rsidRPr="00D836A2" w:rsidRDefault="002C5B09" w:rsidP="005D10D8">
      <w:pPr>
        <w:pStyle w:val="MDPI22heading2"/>
        <w:rPr>
          <w:noProof w:val="0"/>
        </w:rPr>
      </w:pPr>
      <w:r w:rsidRPr="00D836A2">
        <w:rPr>
          <w:noProof w:val="0"/>
        </w:rPr>
        <w:t xml:space="preserve">3.2. </w:t>
      </w:r>
      <w:r w:rsidR="00160E57">
        <w:rPr>
          <w:noProof w:val="0"/>
        </w:rPr>
        <w:t xml:space="preserve">FC </w:t>
      </w:r>
      <w:r w:rsidRPr="00D836A2">
        <w:rPr>
          <w:noProof w:val="0"/>
        </w:rPr>
        <w:t>Compliance in Observed Series</w:t>
      </w:r>
    </w:p>
    <w:p w:rsidR="00767BEB" w:rsidRPr="00D836A2" w:rsidRDefault="002C5B09" w:rsidP="005D10D8">
      <w:pPr>
        <w:pStyle w:val="MDPI31text"/>
      </w:pPr>
      <w:r w:rsidRPr="00D836A2">
        <w:t xml:space="preserve">On average, 9.7 out of the 15 </w:t>
      </w:r>
      <w:r w:rsidR="000A6F0E" w:rsidRPr="00D836A2">
        <w:t>FC</w:t>
      </w:r>
      <w:r w:rsidRPr="00D836A2">
        <w:t xml:space="preserve"> were </w:t>
      </w:r>
      <w:r w:rsidR="00BC4AB3">
        <w:t>fulfilled</w:t>
      </w:r>
      <w:r w:rsidR="00BC4AB3" w:rsidRPr="00D836A2">
        <w:t xml:space="preserve"> </w:t>
      </w:r>
      <w:r w:rsidRPr="00D836A2">
        <w:t>in the sample of 40 observed series, with a minimum of 4 and a maximum of 14 (</w:t>
      </w:r>
      <w:r w:rsidRPr="00B42F8E">
        <w:rPr>
          <w:b/>
        </w:rPr>
        <w:t xml:space="preserve">Figure </w:t>
      </w:r>
      <w:r w:rsidR="009940D2">
        <w:rPr>
          <w:b/>
        </w:rPr>
        <w:t>2</w:t>
      </w:r>
      <w:r w:rsidRPr="00D836A2">
        <w:t xml:space="preserve">). </w:t>
      </w:r>
    </w:p>
    <w:p w:rsidR="00767BEB" w:rsidRPr="00D836A2" w:rsidRDefault="00B4769A" w:rsidP="005D10D8">
      <w:pPr>
        <w:pStyle w:val="MDPI52figure"/>
        <w:adjustRightInd w:val="0"/>
        <w:snapToGrid w:val="0"/>
        <w:spacing w:before="240"/>
      </w:pPr>
      <w:r>
        <w:rPr>
          <w:noProof/>
          <w:lang w:val="fr-FR" w:eastAsia="fr-FR" w:bidi="ar-SA"/>
        </w:rPr>
        <w:drawing>
          <wp:inline distT="0" distB="0" distL="0" distR="0">
            <wp:extent cx="4552950" cy="3414713"/>
            <wp:effectExtent l="0" t="0" r="0" b="0"/>
            <wp:docPr id="6" name="Image 6" descr="C:\Users\florent\SGPl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ent\SGPlot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9100" cy="3419325"/>
                    </a:xfrm>
                    <a:prstGeom prst="rect">
                      <a:avLst/>
                    </a:prstGeom>
                    <a:noFill/>
                    <a:ln>
                      <a:noFill/>
                    </a:ln>
                  </pic:spPr>
                </pic:pic>
              </a:graphicData>
            </a:graphic>
          </wp:inline>
        </w:drawing>
      </w:r>
    </w:p>
    <w:p w:rsidR="00767BEB" w:rsidRPr="00D836A2" w:rsidRDefault="00767BEB" w:rsidP="005D10D8">
      <w:pPr>
        <w:pStyle w:val="MDPI51figurecaption"/>
      </w:pPr>
      <w:r w:rsidRPr="00D836A2">
        <w:rPr>
          <w:b/>
        </w:rPr>
        <w:t xml:space="preserve">Figure </w:t>
      </w:r>
      <w:r w:rsidR="009940D2">
        <w:rPr>
          <w:b/>
        </w:rPr>
        <w:t>2</w:t>
      </w:r>
      <w:r w:rsidRPr="00D836A2">
        <w:rPr>
          <w:b/>
        </w:rPr>
        <w:t>.</w:t>
      </w:r>
      <w:r w:rsidRPr="00D836A2">
        <w:t xml:space="preserve"> Distribution of the </w:t>
      </w:r>
      <w:r w:rsidR="000A6F0E" w:rsidRPr="00D836A2">
        <w:t>n</w:t>
      </w:r>
      <w:r w:rsidRPr="00D836A2">
        <w:t xml:space="preserve">umber of </w:t>
      </w:r>
      <w:r w:rsidR="000A6F0E" w:rsidRPr="00D836A2">
        <w:t>f</w:t>
      </w:r>
      <w:r w:rsidRPr="00D836A2">
        <w:t xml:space="preserve">requency </w:t>
      </w:r>
      <w:r w:rsidR="000A6F0E" w:rsidRPr="00D836A2">
        <w:t>c</w:t>
      </w:r>
      <w:r w:rsidRPr="00D836A2">
        <w:t xml:space="preserve">riteria </w:t>
      </w:r>
      <w:r w:rsidR="00160E57">
        <w:t>c</w:t>
      </w:r>
      <w:r w:rsidRPr="00D836A2">
        <w:t xml:space="preserve">omplied with in the </w:t>
      </w:r>
      <w:r w:rsidR="000A6F0E" w:rsidRPr="00D836A2">
        <w:t>o</w:t>
      </w:r>
      <w:r w:rsidRPr="00D836A2">
        <w:t xml:space="preserve">bserved </w:t>
      </w:r>
      <w:r w:rsidR="000A6F0E" w:rsidRPr="00D836A2">
        <w:t>s</w:t>
      </w:r>
      <w:r w:rsidRPr="00D836A2">
        <w:t xml:space="preserve">eries of </w:t>
      </w:r>
      <w:r w:rsidR="000A6F0E" w:rsidRPr="00D836A2">
        <w:t>m</w:t>
      </w:r>
      <w:r w:rsidRPr="00D836A2">
        <w:t>eals (N=40 series)</w:t>
      </w:r>
      <w:r w:rsidR="005D10D8" w:rsidRPr="00D836A2">
        <w:t>.</w:t>
      </w:r>
    </w:p>
    <w:p w:rsidR="005D10D8" w:rsidRPr="00D836A2" w:rsidRDefault="002C5B09" w:rsidP="005D10D8">
      <w:pPr>
        <w:pStyle w:val="MDPI31text"/>
      </w:pPr>
      <w:r w:rsidRPr="00D836A2">
        <w:t xml:space="preserve">The </w:t>
      </w:r>
      <w:r w:rsidR="000F5333">
        <w:t xml:space="preserve">percentage of series fulfilling the frequency criteria </w:t>
      </w:r>
      <w:r w:rsidRPr="00D836A2">
        <w:t xml:space="preserve">in the 40 observed series varied </w:t>
      </w:r>
      <w:r w:rsidR="00160E57">
        <w:t>depending on</w:t>
      </w:r>
      <w:r w:rsidRPr="00D836A2">
        <w:t xml:space="preserve"> the </w:t>
      </w:r>
      <w:r w:rsidR="005D10D8" w:rsidRPr="00D836A2">
        <w:t xml:space="preserve">criterion considered (Table </w:t>
      </w:r>
      <w:r w:rsidR="00B67E90">
        <w:t>1</w:t>
      </w:r>
      <w:r w:rsidR="005D10D8" w:rsidRPr="00D836A2">
        <w:t>).</w:t>
      </w:r>
    </w:p>
    <w:p w:rsidR="00E86A64" w:rsidRPr="00D836A2" w:rsidRDefault="005D10D8" w:rsidP="005D10D8">
      <w:pPr>
        <w:pStyle w:val="MDPI12title"/>
        <w:rPr>
          <w:sz w:val="20"/>
          <w:szCs w:val="22"/>
        </w:rPr>
      </w:pPr>
      <w:r w:rsidRPr="00D836A2">
        <w:br w:type="page"/>
      </w:r>
    </w:p>
    <w:p w:rsidR="00E86A64" w:rsidRPr="00D836A2" w:rsidRDefault="00E86A64" w:rsidP="005D10D8">
      <w:pPr>
        <w:pStyle w:val="MDPI41tablecaption"/>
      </w:pPr>
      <w:r w:rsidRPr="00D836A2">
        <w:rPr>
          <w:b/>
        </w:rPr>
        <w:lastRenderedPageBreak/>
        <w:t xml:space="preserve">Table </w:t>
      </w:r>
      <w:r w:rsidR="00B67E90">
        <w:rPr>
          <w:b/>
        </w:rPr>
        <w:t>1</w:t>
      </w:r>
      <w:r w:rsidRPr="00D836A2">
        <w:rPr>
          <w:b/>
        </w:rPr>
        <w:t>.</w:t>
      </w:r>
      <w:r w:rsidRPr="00D836A2">
        <w:t xml:space="preserve"> The 15 </w:t>
      </w:r>
      <w:r w:rsidR="0098104E" w:rsidRPr="00D836A2">
        <w:t>f</w:t>
      </w:r>
      <w:r w:rsidRPr="00D836A2">
        <w:t xml:space="preserve">requency </w:t>
      </w:r>
      <w:r w:rsidR="0098104E" w:rsidRPr="00D836A2">
        <w:t>c</w:t>
      </w:r>
      <w:r w:rsidRPr="00D836A2">
        <w:t xml:space="preserve">riteria for </w:t>
      </w:r>
      <w:r w:rsidR="0098104E" w:rsidRPr="00D836A2">
        <w:t>school m</w:t>
      </w:r>
      <w:r w:rsidRPr="00D836A2">
        <w:t xml:space="preserve">eal </w:t>
      </w:r>
      <w:r w:rsidR="0098104E" w:rsidRPr="00D836A2">
        <w:t>s</w:t>
      </w:r>
      <w:r w:rsidRPr="00D836A2">
        <w:t xml:space="preserve">ervice in </w:t>
      </w:r>
      <w:r w:rsidR="0098104E" w:rsidRPr="00D836A2">
        <w:t xml:space="preserve">France </w:t>
      </w:r>
      <w:r w:rsidR="00FF17D2">
        <w:fldChar w:fldCharType="begin"/>
      </w:r>
      <w:r w:rsidR="006C5B2D">
        <w:instrText xml:space="preserve"> ADDIN REFMGR.CITE &lt;Refman&gt;&lt;Cite&gt;&lt;Author&gt;Minist&amp;#xE8;re de l&amp;apos;Economie&lt;/Author&gt;&lt;Year&gt;2015&lt;/Year&gt;&lt;RecNum&gt;5113&lt;/RecNum&gt;&lt;IDText&gt;Recommandation Nutrition,Version 2.0 Juillet 2015&lt;/IDText&gt;&lt;MDL Ref_Type="Journal"&gt;&lt;Ref_Type&gt;Journal&lt;/Ref_Type&gt;&lt;Ref_ID&gt;5113&lt;/Ref_ID&gt;&lt;Title_Primary&gt;Recommandation Nutrition,Version 2.0 Juillet 2015&lt;/Title_Primary&gt;&lt;Authors_Primary&gt;Minist&amp;#xE8;re de l&amp;apos;Economie&lt;/Authors_Primary&gt;&lt;Authors_Primary&gt;Direction des Affaires Juridiques&lt;/Authors_Primary&gt;&lt;Authors_Primary&gt;Observatoire Economique de l&amp;apos;Achat Public&lt;/Authors_Primary&gt;&lt;Authors_Primary&gt;Groupe d&amp;apos;Etude des March&amp;#xE9;s Restauration Collective et de Nutrition (GEM-RCN)&lt;/Authors_Primary&gt;&lt;Date_Primary&gt;2015&lt;/Date_Primary&gt;&lt;Keywords&gt;De&lt;/Keywords&gt;&lt;Keywords&gt;Du&lt;/Keywords&gt;&lt;Keywords&gt;Et&lt;/Keywords&gt;&lt;Keywords&gt;Nutrition&lt;/Keywords&gt;&lt;Reprint&gt;Not in File&lt;/Reprint&gt;&lt;Periodical&gt;Version 2.0 Juillet 2015&lt;/Periodical&gt;&lt;Volume&gt;[en ligne] (Consult&amp;#xE9; le 25 juin 2017) https://www.economie.gouv.fr/daj/recommandation-nutrition&lt;/Volume&gt;&lt;ZZ_JournalStdAbbrev&gt;&lt;f name="System"&gt;Version 2.0 Juillet 2015&lt;/f&gt;&lt;/ZZ_JournalStdAbbrev&gt;&lt;ZZ_WorkformID&gt;1&lt;/ZZ_WorkformID&gt;&lt;/MDL&gt;&lt;/Cite&gt;&lt;Cite&gt;&lt;Author&gt;R&amp;#xE9;publique Fran&amp;#xE7;aise&lt;/Author&gt;&lt;Year&gt;2011&lt;/Year&gt;&lt;RecNum&gt;5114&lt;/RecNum&gt;&lt;IDText&gt;Arr&amp;#xEA;t&amp;#xE9; du 30 septembre 2011 relatif &amp;#xE0; la qualit&amp;#xE9; nutritionnelle des repas servis dans le cadre de la restauration scolaire&lt;/IDText&gt;&lt;MDL Ref_Type="Journal"&gt;&lt;Ref_Type&gt;Journal&lt;/Ref_Type&gt;&lt;Ref_ID&gt;5114&lt;/Ref_ID&gt;&lt;Title_Primary&gt;&lt;b&gt;Arr&amp;#xEA;t&amp;#xE9; du 30 septembre 2011 relatif &amp;#xE0; la qualit&amp;#xE9; nutritionnelle des repas servis dans le cadre de la restauration scolaire&lt;/b&gt;&lt;/Title_Primary&gt;&lt;Authors_Primary&gt;R&amp;#xE9;publique Fran&amp;#xE7;aise&lt;/Authors_Primary&gt;&lt;Date_Primary&gt;2011&lt;/Date_Primary&gt;&lt;Keywords&gt;De&lt;/Keywords&gt;&lt;Keywords&gt;Du&lt;/Keywords&gt;&lt;Reprint&gt;Not in File&lt;/Reprint&gt;&lt;Periodical&gt;Journal Officiel de la R&amp;#xE9;publique Fran&amp;#xE7;aise&lt;/Periodical&gt;&lt;Volume&gt;JORF n&amp;#xB0;0229 du 2 octobre 2011: 16575 Texte n&amp;#xB0;34-NOR: AGRG1032380A Version consolid&amp;#xE9;e au 25 juin 2017 &lt;/Volume&gt;&lt;ZZ_JournalFull&gt;&lt;f name="System"&gt;Journal Officiel de la R&amp;#xE9;publique Fran&amp;#xE7;aise&lt;/f&gt;&lt;/ZZ_JournalFull&gt;&lt;ZZ_WorkformID&gt;1&lt;/ZZ_WorkformID&gt;&lt;/MDL&gt;&lt;/Cite&gt;&lt;/Refman&gt;</w:instrText>
      </w:r>
      <w:r w:rsidR="00FF17D2">
        <w:fldChar w:fldCharType="separate"/>
      </w:r>
      <w:r w:rsidR="006C5B2D">
        <w:t>[10,13]</w:t>
      </w:r>
      <w:r w:rsidR="00FF17D2">
        <w:fldChar w:fldCharType="end"/>
      </w:r>
      <w:r w:rsidRPr="00D836A2">
        <w:t xml:space="preserve"> and </w:t>
      </w:r>
      <w:r w:rsidR="00DE6A7B">
        <w:t xml:space="preserve">the percentage of series </w:t>
      </w:r>
      <w:r w:rsidR="006D44B2">
        <w:t>fulfilling</w:t>
      </w:r>
      <w:r w:rsidRPr="00D836A2">
        <w:t xml:space="preserve"> </w:t>
      </w:r>
      <w:r w:rsidR="0098104E" w:rsidRPr="00D836A2">
        <w:t>e</w:t>
      </w:r>
      <w:r w:rsidRPr="00D836A2">
        <w:t xml:space="preserve">ach </w:t>
      </w:r>
      <w:r w:rsidR="0098104E" w:rsidRPr="00D836A2">
        <w:t>c</w:t>
      </w:r>
      <w:r w:rsidRPr="00D836A2">
        <w:t xml:space="preserve">riterion </w:t>
      </w:r>
      <w:r w:rsidR="00DE6A7B">
        <w:t>among</w:t>
      </w:r>
      <w:r w:rsidR="00DE6A7B" w:rsidRPr="00D836A2">
        <w:t xml:space="preserve"> </w:t>
      </w:r>
      <w:r w:rsidRPr="00D836A2">
        <w:t xml:space="preserve">the 40 </w:t>
      </w:r>
      <w:r w:rsidR="0098104E" w:rsidRPr="00D836A2">
        <w:t>o</w:t>
      </w:r>
      <w:r w:rsidRPr="00D836A2">
        <w:t xml:space="preserve">bserved </w:t>
      </w:r>
      <w:r w:rsidR="0098104E" w:rsidRPr="00D836A2">
        <w:t>s</w:t>
      </w:r>
      <w:r w:rsidRPr="00D836A2">
        <w:t>eries</w:t>
      </w:r>
      <w:r w:rsidR="00DE7453" w:rsidRPr="00D836A2">
        <w:t xml:space="preserve"> </w:t>
      </w:r>
      <w:r w:rsidR="00DE7453" w:rsidRPr="00D836A2">
        <w:rPr>
          <w:lang w:eastAsia="fr-FR"/>
        </w:rPr>
        <w:t>of 20 meals</w:t>
      </w:r>
    </w:p>
    <w:tbl>
      <w:tblPr>
        <w:tblStyle w:val="Mdeck5tablebodythreelines"/>
        <w:tblW w:w="10562" w:type="dxa"/>
        <w:tblLayout w:type="fixed"/>
        <w:tblLook w:val="04A0" w:firstRow="1" w:lastRow="0" w:firstColumn="1" w:lastColumn="0" w:noHBand="0" w:noVBand="1"/>
      </w:tblPr>
      <w:tblGrid>
        <w:gridCol w:w="5482"/>
        <w:gridCol w:w="1984"/>
        <w:gridCol w:w="1560"/>
        <w:gridCol w:w="1536"/>
      </w:tblGrid>
      <w:tr w:rsidR="00E86A64" w:rsidRPr="00A9521A" w:rsidTr="00721ED3">
        <w:trPr>
          <w:cnfStyle w:val="100000000000" w:firstRow="1" w:lastRow="0" w:firstColumn="0" w:lastColumn="0" w:oddVBand="0" w:evenVBand="0" w:oddHBand="0" w:evenHBand="0" w:firstRowFirstColumn="0" w:firstRowLastColumn="0" w:lastRowFirstColumn="0" w:lastRowLastColumn="0"/>
        </w:trPr>
        <w:tc>
          <w:tcPr>
            <w:tcW w:w="5482"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Criteria</w:t>
            </w:r>
          </w:p>
        </w:tc>
        <w:tc>
          <w:tcPr>
            <w:tcW w:w="1984"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Component(s) Concerned</w:t>
            </w:r>
          </w:p>
        </w:tc>
        <w:tc>
          <w:tcPr>
            <w:tcW w:w="1560" w:type="dxa"/>
            <w:hideMark/>
          </w:tcPr>
          <w:p w:rsidR="00E86A64" w:rsidRPr="00D836A2" w:rsidRDefault="00FA09F5" w:rsidP="005D10D8">
            <w:pPr>
              <w:pStyle w:val="MDPI42tablebody"/>
              <w:autoSpaceDE w:val="0"/>
              <w:autoSpaceDN w:val="0"/>
              <w:spacing w:line="240" w:lineRule="auto"/>
              <w:rPr>
                <w:sz w:val="18"/>
                <w:szCs w:val="18"/>
                <w:lang w:val="en-US" w:eastAsia="fr-FR"/>
              </w:rPr>
            </w:pPr>
            <w:r w:rsidRPr="00D836A2">
              <w:rPr>
                <w:sz w:val="18"/>
                <w:szCs w:val="18"/>
                <w:lang w:val="en-US" w:eastAsia="fr-FR"/>
              </w:rPr>
              <w:t xml:space="preserve">Expected </w:t>
            </w:r>
            <w:r w:rsidR="00E86A64" w:rsidRPr="00D836A2">
              <w:rPr>
                <w:sz w:val="18"/>
                <w:szCs w:val="18"/>
                <w:lang w:val="en-US" w:eastAsia="fr-FR"/>
              </w:rPr>
              <w:t>Frequency</w:t>
            </w:r>
          </w:p>
        </w:tc>
        <w:tc>
          <w:tcPr>
            <w:tcW w:w="1536" w:type="dxa"/>
          </w:tcPr>
          <w:p w:rsidR="00E86A64" w:rsidRPr="00D836A2" w:rsidRDefault="00DE6A7B" w:rsidP="006D44B2">
            <w:pPr>
              <w:pStyle w:val="MDPI42tablebody"/>
              <w:autoSpaceDE w:val="0"/>
              <w:autoSpaceDN w:val="0"/>
              <w:spacing w:line="240" w:lineRule="auto"/>
              <w:rPr>
                <w:sz w:val="18"/>
                <w:szCs w:val="18"/>
                <w:lang w:val="en-US" w:eastAsia="fr-FR"/>
              </w:rPr>
            </w:pPr>
            <w:r>
              <w:rPr>
                <w:sz w:val="18"/>
                <w:szCs w:val="18"/>
                <w:lang w:eastAsia="fr-FR"/>
              </w:rPr>
              <w:t xml:space="preserve">% of observed series </w:t>
            </w:r>
            <w:r w:rsidR="006D44B2">
              <w:rPr>
                <w:sz w:val="18"/>
                <w:szCs w:val="18"/>
                <w:lang w:eastAsia="fr-FR"/>
              </w:rPr>
              <w:t>fulfilling the criterion</w:t>
            </w:r>
            <w:r w:rsidR="00E86A64" w:rsidRPr="00D836A2">
              <w:rPr>
                <w:sz w:val="18"/>
                <w:szCs w:val="18"/>
                <w:vertAlign w:val="superscript"/>
                <w:lang w:val="en-US" w:eastAsia="fr-FR"/>
              </w:rPr>
              <w:t>1</w:t>
            </w:r>
          </w:p>
        </w:tc>
      </w:tr>
      <w:tr w:rsidR="00E86A64" w:rsidRPr="00D836A2" w:rsidTr="00721ED3">
        <w:tc>
          <w:tcPr>
            <w:tcW w:w="5482"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Starters containing more than 15% fat</w:t>
            </w:r>
          </w:p>
        </w:tc>
        <w:tc>
          <w:tcPr>
            <w:tcW w:w="1984"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starter</w:t>
            </w:r>
          </w:p>
        </w:tc>
        <w:tc>
          <w:tcPr>
            <w:tcW w:w="1560"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4/20 max</w:t>
            </w:r>
          </w:p>
        </w:tc>
        <w:tc>
          <w:tcPr>
            <w:tcW w:w="1536"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82.5%</w:t>
            </w:r>
          </w:p>
        </w:tc>
      </w:tr>
      <w:tr w:rsidR="00E86A64" w:rsidRPr="00D836A2" w:rsidTr="00721ED3">
        <w:tc>
          <w:tcPr>
            <w:tcW w:w="5482"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Raw vegetable or fruit dishes containing at least 50% vegetables or fruits</w:t>
            </w:r>
          </w:p>
        </w:tc>
        <w:tc>
          <w:tcPr>
            <w:tcW w:w="1984"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starter, side</w:t>
            </w:r>
            <w:r w:rsidR="000E3BDE">
              <w:rPr>
                <w:sz w:val="18"/>
                <w:szCs w:val="18"/>
                <w:lang w:val="en-US" w:eastAsia="fr-FR"/>
              </w:rPr>
              <w:t xml:space="preserve"> dish</w:t>
            </w:r>
          </w:p>
        </w:tc>
        <w:tc>
          <w:tcPr>
            <w:tcW w:w="1560"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10/20 min</w:t>
            </w:r>
          </w:p>
        </w:tc>
        <w:tc>
          <w:tcPr>
            <w:tcW w:w="1536"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70%</w:t>
            </w:r>
          </w:p>
        </w:tc>
      </w:tr>
      <w:tr w:rsidR="00E86A64" w:rsidRPr="00D836A2" w:rsidTr="00721ED3">
        <w:tc>
          <w:tcPr>
            <w:tcW w:w="5482"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Dishes to fry or pre-fried dishes containing more than 15% fat</w:t>
            </w:r>
          </w:p>
        </w:tc>
        <w:tc>
          <w:tcPr>
            <w:tcW w:w="1984"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protein dish, side</w:t>
            </w:r>
            <w:r w:rsidR="000E3BDE">
              <w:rPr>
                <w:sz w:val="18"/>
                <w:szCs w:val="18"/>
                <w:lang w:val="en-US" w:eastAsia="fr-FR"/>
              </w:rPr>
              <w:t xml:space="preserve"> dish</w:t>
            </w:r>
          </w:p>
        </w:tc>
        <w:tc>
          <w:tcPr>
            <w:tcW w:w="1560"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4/20 max</w:t>
            </w:r>
          </w:p>
        </w:tc>
        <w:tc>
          <w:tcPr>
            <w:tcW w:w="1536"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100%</w:t>
            </w:r>
          </w:p>
        </w:tc>
      </w:tr>
      <w:tr w:rsidR="00E86A64" w:rsidRPr="00D836A2" w:rsidTr="00721ED3">
        <w:tc>
          <w:tcPr>
            <w:tcW w:w="5482"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Protein dishes with a ratio of P/F</w:t>
            </w:r>
            <w:r w:rsidR="004F791A">
              <w:rPr>
                <w:sz w:val="18"/>
                <w:szCs w:val="18"/>
                <w:vertAlign w:val="superscript"/>
                <w:lang w:val="en-US" w:eastAsia="fr-FR"/>
              </w:rPr>
              <w:t xml:space="preserve"> </w:t>
            </w:r>
            <w:r w:rsidR="003000E6">
              <w:rPr>
                <w:sz w:val="18"/>
                <w:szCs w:val="18"/>
                <w:vertAlign w:val="superscript"/>
                <w:lang w:val="en-US" w:eastAsia="fr-FR"/>
              </w:rPr>
              <w:t>1</w:t>
            </w:r>
            <w:r w:rsidRPr="00D836A2">
              <w:rPr>
                <w:sz w:val="18"/>
                <w:szCs w:val="18"/>
                <w:lang w:val="en-US" w:eastAsia="fr-FR"/>
              </w:rPr>
              <w:t xml:space="preserve"> ≤ 1</w:t>
            </w:r>
          </w:p>
        </w:tc>
        <w:tc>
          <w:tcPr>
            <w:tcW w:w="1984"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protein dish</w:t>
            </w:r>
          </w:p>
        </w:tc>
        <w:tc>
          <w:tcPr>
            <w:tcW w:w="1560"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2/20 max</w:t>
            </w:r>
          </w:p>
        </w:tc>
        <w:tc>
          <w:tcPr>
            <w:tcW w:w="1536"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55%</w:t>
            </w:r>
          </w:p>
        </w:tc>
      </w:tr>
      <w:tr w:rsidR="00E86A64" w:rsidRPr="00D836A2" w:rsidTr="00721ED3">
        <w:tc>
          <w:tcPr>
            <w:tcW w:w="5482"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Fish or fish-based dishes containing at least 70% fish and having a ratio of P/F ≥ 2</w:t>
            </w:r>
          </w:p>
        </w:tc>
        <w:tc>
          <w:tcPr>
            <w:tcW w:w="1984"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protein dish</w:t>
            </w:r>
          </w:p>
        </w:tc>
        <w:tc>
          <w:tcPr>
            <w:tcW w:w="1560"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4/20 min</w:t>
            </w:r>
          </w:p>
        </w:tc>
        <w:tc>
          <w:tcPr>
            <w:tcW w:w="1536"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60%</w:t>
            </w:r>
          </w:p>
        </w:tc>
      </w:tr>
      <w:tr w:rsidR="00E86A64" w:rsidRPr="00D836A2" w:rsidTr="00721ED3">
        <w:tc>
          <w:tcPr>
            <w:tcW w:w="5482"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Unground beef, veal or lamb, and offal</w:t>
            </w:r>
          </w:p>
        </w:tc>
        <w:tc>
          <w:tcPr>
            <w:tcW w:w="1984"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protein dish</w:t>
            </w:r>
          </w:p>
        </w:tc>
        <w:tc>
          <w:tcPr>
            <w:tcW w:w="1560"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4/20 min</w:t>
            </w:r>
          </w:p>
        </w:tc>
        <w:tc>
          <w:tcPr>
            <w:tcW w:w="1536"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77.5%</w:t>
            </w:r>
          </w:p>
        </w:tc>
      </w:tr>
      <w:tr w:rsidR="00E86A64" w:rsidRPr="00D836A2" w:rsidTr="00721ED3">
        <w:tc>
          <w:tcPr>
            <w:tcW w:w="5482"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Preparations or ready-to-eat dishes containing less than 70% of the recommended weight for the portion of meat, fish or eggs</w:t>
            </w:r>
          </w:p>
        </w:tc>
        <w:tc>
          <w:tcPr>
            <w:tcW w:w="1984"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protein dish</w:t>
            </w:r>
          </w:p>
        </w:tc>
        <w:tc>
          <w:tcPr>
            <w:tcW w:w="1560"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3/20 max</w:t>
            </w:r>
          </w:p>
        </w:tc>
        <w:tc>
          <w:tcPr>
            <w:tcW w:w="1536"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25%</w:t>
            </w:r>
          </w:p>
        </w:tc>
      </w:tr>
      <w:tr w:rsidR="00E86A64" w:rsidRPr="00D836A2" w:rsidTr="00721ED3">
        <w:tc>
          <w:tcPr>
            <w:tcW w:w="5482"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Vegetables, other than pulses, alone or in a mixture containing at least 50% vegetables</w:t>
            </w:r>
          </w:p>
        </w:tc>
        <w:tc>
          <w:tcPr>
            <w:tcW w:w="1984" w:type="dxa"/>
          </w:tcPr>
          <w:p w:rsidR="00E86A64" w:rsidRPr="00D836A2" w:rsidRDefault="000E3BDE" w:rsidP="005D10D8">
            <w:pPr>
              <w:pStyle w:val="MDPI42tablebody"/>
              <w:autoSpaceDE w:val="0"/>
              <w:autoSpaceDN w:val="0"/>
              <w:spacing w:line="240" w:lineRule="auto"/>
              <w:rPr>
                <w:sz w:val="18"/>
                <w:szCs w:val="18"/>
                <w:lang w:val="en-US" w:eastAsia="fr-FR"/>
              </w:rPr>
            </w:pPr>
            <w:r>
              <w:rPr>
                <w:sz w:val="18"/>
                <w:szCs w:val="18"/>
                <w:lang w:val="en-US" w:eastAsia="fr-FR"/>
              </w:rPr>
              <w:t>s</w:t>
            </w:r>
            <w:r w:rsidR="00E86A64" w:rsidRPr="00D836A2">
              <w:rPr>
                <w:sz w:val="18"/>
                <w:szCs w:val="18"/>
                <w:lang w:val="en-US" w:eastAsia="fr-FR"/>
              </w:rPr>
              <w:t>ide</w:t>
            </w:r>
            <w:r>
              <w:rPr>
                <w:sz w:val="18"/>
                <w:szCs w:val="18"/>
                <w:lang w:val="en-US" w:eastAsia="fr-FR"/>
              </w:rPr>
              <w:t xml:space="preserve"> dish</w:t>
            </w:r>
          </w:p>
        </w:tc>
        <w:tc>
          <w:tcPr>
            <w:tcW w:w="1560"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 10/20</w:t>
            </w:r>
          </w:p>
        </w:tc>
        <w:tc>
          <w:tcPr>
            <w:tcW w:w="1536"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27.5%</w:t>
            </w:r>
          </w:p>
        </w:tc>
      </w:tr>
      <w:tr w:rsidR="00E86A64" w:rsidRPr="00D836A2" w:rsidTr="00721ED3">
        <w:tc>
          <w:tcPr>
            <w:tcW w:w="5482" w:type="dxa"/>
            <w:hideMark/>
          </w:tcPr>
          <w:p w:rsidR="000B2128"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Pulses, starches or grains, alone or in a mixture containing at least 50% pulses, starches or grains</w:t>
            </w:r>
          </w:p>
        </w:tc>
        <w:tc>
          <w:tcPr>
            <w:tcW w:w="1984" w:type="dxa"/>
          </w:tcPr>
          <w:p w:rsidR="00E86A64" w:rsidRPr="00D836A2" w:rsidRDefault="000E3BDE" w:rsidP="005D10D8">
            <w:pPr>
              <w:pStyle w:val="MDPI42tablebody"/>
              <w:autoSpaceDE w:val="0"/>
              <w:autoSpaceDN w:val="0"/>
              <w:spacing w:line="240" w:lineRule="auto"/>
              <w:rPr>
                <w:sz w:val="18"/>
                <w:szCs w:val="18"/>
                <w:lang w:val="en-US" w:eastAsia="fr-FR"/>
              </w:rPr>
            </w:pPr>
            <w:r>
              <w:rPr>
                <w:sz w:val="18"/>
                <w:szCs w:val="18"/>
                <w:lang w:val="en-US" w:eastAsia="fr-FR"/>
              </w:rPr>
              <w:t>s</w:t>
            </w:r>
            <w:r w:rsidR="00E86A64" w:rsidRPr="00D836A2">
              <w:rPr>
                <w:sz w:val="18"/>
                <w:szCs w:val="18"/>
                <w:lang w:val="en-US" w:eastAsia="fr-FR"/>
              </w:rPr>
              <w:t>ide</w:t>
            </w:r>
            <w:r>
              <w:rPr>
                <w:sz w:val="18"/>
                <w:szCs w:val="18"/>
                <w:lang w:val="en-US" w:eastAsia="fr-FR"/>
              </w:rPr>
              <w:t xml:space="preserve"> dish</w:t>
            </w:r>
          </w:p>
        </w:tc>
        <w:tc>
          <w:tcPr>
            <w:tcW w:w="1560"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 10/20</w:t>
            </w:r>
          </w:p>
        </w:tc>
        <w:tc>
          <w:tcPr>
            <w:tcW w:w="1536"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27.5%</w:t>
            </w:r>
          </w:p>
        </w:tc>
      </w:tr>
      <w:tr w:rsidR="00E86A64" w:rsidRPr="00D836A2" w:rsidTr="00721ED3">
        <w:tc>
          <w:tcPr>
            <w:tcW w:w="5482"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Cheese containing at least 150 mg of calcium per portion</w:t>
            </w:r>
          </w:p>
        </w:tc>
        <w:tc>
          <w:tcPr>
            <w:tcW w:w="1984"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starter, dairy product</w:t>
            </w:r>
          </w:p>
        </w:tc>
        <w:tc>
          <w:tcPr>
            <w:tcW w:w="1560"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8/20 min</w:t>
            </w:r>
          </w:p>
        </w:tc>
        <w:tc>
          <w:tcPr>
            <w:tcW w:w="1536"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77.5%</w:t>
            </w:r>
          </w:p>
        </w:tc>
      </w:tr>
      <w:tr w:rsidR="00E86A64" w:rsidRPr="00D836A2" w:rsidTr="00721ED3">
        <w:tc>
          <w:tcPr>
            <w:tcW w:w="5482" w:type="dxa"/>
            <w:hideMark/>
          </w:tcPr>
          <w:p w:rsidR="000E3BDE" w:rsidRDefault="00E86A64">
            <w:pPr>
              <w:pStyle w:val="MDPI42tablebody"/>
              <w:autoSpaceDE w:val="0"/>
              <w:autoSpaceDN w:val="0"/>
              <w:spacing w:line="240" w:lineRule="auto"/>
              <w:rPr>
                <w:rFonts w:cstheme="majorBidi"/>
                <w:sz w:val="18"/>
                <w:szCs w:val="18"/>
                <w:u w:val="single"/>
                <w:lang w:val="en-US" w:eastAsia="fr-FR"/>
              </w:rPr>
            </w:pPr>
            <w:r w:rsidRPr="00D836A2">
              <w:rPr>
                <w:sz w:val="18"/>
                <w:szCs w:val="18"/>
                <w:lang w:val="en-US" w:eastAsia="fr-FR"/>
              </w:rPr>
              <w:t xml:space="preserve">Cheese with a calcium content of </w:t>
            </w:r>
            <w:r w:rsidR="000B2128">
              <w:rPr>
                <w:sz w:val="18"/>
                <w:szCs w:val="18"/>
                <w:lang w:val="en-US" w:eastAsia="fr-FR"/>
              </w:rPr>
              <w:t>more than</w:t>
            </w:r>
            <w:r w:rsidR="000B2128" w:rsidRPr="00D836A2">
              <w:rPr>
                <w:sz w:val="18"/>
                <w:szCs w:val="18"/>
                <w:lang w:val="en-US" w:eastAsia="fr-FR"/>
              </w:rPr>
              <w:t xml:space="preserve"> </w:t>
            </w:r>
            <w:r w:rsidRPr="00D836A2">
              <w:rPr>
                <w:sz w:val="18"/>
                <w:szCs w:val="18"/>
                <w:lang w:val="en-US" w:eastAsia="fr-FR"/>
              </w:rPr>
              <w:t>100 mg and less than 150 mg per portion</w:t>
            </w:r>
          </w:p>
        </w:tc>
        <w:tc>
          <w:tcPr>
            <w:tcW w:w="1984"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starter, dairy product</w:t>
            </w:r>
          </w:p>
        </w:tc>
        <w:tc>
          <w:tcPr>
            <w:tcW w:w="1560"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4/20 min</w:t>
            </w:r>
          </w:p>
        </w:tc>
        <w:tc>
          <w:tcPr>
            <w:tcW w:w="1536"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57.5%</w:t>
            </w:r>
          </w:p>
        </w:tc>
      </w:tr>
      <w:tr w:rsidR="00E86A64" w:rsidRPr="00D836A2" w:rsidTr="00721ED3">
        <w:tc>
          <w:tcPr>
            <w:tcW w:w="5482"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Dairy (fresh dairy products, dairy-based desserts) containing more than 100 mg of milk calcium and less than 5 g of fat per portion</w:t>
            </w:r>
          </w:p>
        </w:tc>
        <w:tc>
          <w:tcPr>
            <w:tcW w:w="1984"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dairy product, dessert</w:t>
            </w:r>
          </w:p>
        </w:tc>
        <w:tc>
          <w:tcPr>
            <w:tcW w:w="1560"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6/20 min</w:t>
            </w:r>
          </w:p>
        </w:tc>
        <w:tc>
          <w:tcPr>
            <w:tcW w:w="1536"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40%</w:t>
            </w:r>
          </w:p>
        </w:tc>
      </w:tr>
      <w:tr w:rsidR="00E86A64" w:rsidRPr="00D836A2" w:rsidTr="00721ED3">
        <w:tc>
          <w:tcPr>
            <w:tcW w:w="5482"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Desserts containing more than 15% fat</w:t>
            </w:r>
          </w:p>
        </w:tc>
        <w:tc>
          <w:tcPr>
            <w:tcW w:w="1984" w:type="dxa"/>
          </w:tcPr>
          <w:p w:rsidR="00E86A64" w:rsidRPr="00D836A2" w:rsidRDefault="00EF6639" w:rsidP="005D10D8">
            <w:pPr>
              <w:pStyle w:val="MDPI42tablebody"/>
              <w:autoSpaceDE w:val="0"/>
              <w:autoSpaceDN w:val="0"/>
              <w:spacing w:line="240" w:lineRule="auto"/>
              <w:rPr>
                <w:sz w:val="18"/>
                <w:szCs w:val="18"/>
                <w:lang w:val="en-US" w:eastAsia="fr-FR"/>
              </w:rPr>
            </w:pPr>
            <w:r>
              <w:rPr>
                <w:sz w:val="18"/>
                <w:szCs w:val="18"/>
                <w:lang w:val="en-US" w:eastAsia="fr-FR"/>
              </w:rPr>
              <w:t>d</w:t>
            </w:r>
            <w:r w:rsidR="00E86A64" w:rsidRPr="00D836A2">
              <w:rPr>
                <w:sz w:val="18"/>
                <w:szCs w:val="18"/>
                <w:lang w:val="en-US" w:eastAsia="fr-FR"/>
              </w:rPr>
              <w:t>essert</w:t>
            </w:r>
          </w:p>
        </w:tc>
        <w:tc>
          <w:tcPr>
            <w:tcW w:w="1560"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3/20 max</w:t>
            </w:r>
          </w:p>
        </w:tc>
        <w:tc>
          <w:tcPr>
            <w:tcW w:w="1536"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95%</w:t>
            </w:r>
          </w:p>
        </w:tc>
      </w:tr>
      <w:tr w:rsidR="00E86A64" w:rsidRPr="00D836A2" w:rsidTr="00721ED3">
        <w:tc>
          <w:tcPr>
            <w:tcW w:w="5482"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Desserts or dairy products containing more than 20 g of total simple sugars per portion and less than 15% fat</w:t>
            </w:r>
          </w:p>
        </w:tc>
        <w:tc>
          <w:tcPr>
            <w:tcW w:w="1984"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dairy product, dessert</w:t>
            </w:r>
          </w:p>
        </w:tc>
        <w:tc>
          <w:tcPr>
            <w:tcW w:w="1560"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4/20 max</w:t>
            </w:r>
          </w:p>
        </w:tc>
        <w:tc>
          <w:tcPr>
            <w:tcW w:w="1536"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100%</w:t>
            </w:r>
          </w:p>
        </w:tc>
      </w:tr>
      <w:tr w:rsidR="00E86A64" w:rsidRPr="00D836A2" w:rsidTr="00721ED3">
        <w:tc>
          <w:tcPr>
            <w:tcW w:w="5482"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Raw fruit dessert 100% raw fruit without added sugar</w:t>
            </w:r>
            <w:r w:rsidR="00FA2929" w:rsidRPr="00D836A2">
              <w:rPr>
                <w:sz w:val="18"/>
                <w:szCs w:val="18"/>
                <w:lang w:val="en-US" w:eastAsia="fr-FR"/>
              </w:rPr>
              <w:t>s</w:t>
            </w:r>
          </w:p>
        </w:tc>
        <w:tc>
          <w:tcPr>
            <w:tcW w:w="1984" w:type="dxa"/>
          </w:tcPr>
          <w:p w:rsidR="00E86A64" w:rsidRPr="00D836A2" w:rsidRDefault="00EF6639" w:rsidP="005D10D8">
            <w:pPr>
              <w:pStyle w:val="MDPI42tablebody"/>
              <w:autoSpaceDE w:val="0"/>
              <w:autoSpaceDN w:val="0"/>
              <w:spacing w:line="240" w:lineRule="auto"/>
              <w:rPr>
                <w:sz w:val="18"/>
                <w:szCs w:val="18"/>
                <w:lang w:val="en-US" w:eastAsia="fr-FR"/>
              </w:rPr>
            </w:pPr>
            <w:r>
              <w:rPr>
                <w:sz w:val="18"/>
                <w:szCs w:val="18"/>
                <w:lang w:val="en-US" w:eastAsia="fr-FR"/>
              </w:rPr>
              <w:t>d</w:t>
            </w:r>
            <w:r w:rsidR="00E86A64" w:rsidRPr="00D836A2">
              <w:rPr>
                <w:sz w:val="18"/>
                <w:szCs w:val="18"/>
                <w:lang w:val="en-US" w:eastAsia="fr-FR"/>
              </w:rPr>
              <w:t>essert</w:t>
            </w:r>
          </w:p>
        </w:tc>
        <w:tc>
          <w:tcPr>
            <w:tcW w:w="1560" w:type="dxa"/>
            <w:hideMark/>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8/20 min</w:t>
            </w:r>
          </w:p>
        </w:tc>
        <w:tc>
          <w:tcPr>
            <w:tcW w:w="1536" w:type="dxa"/>
          </w:tcPr>
          <w:p w:rsidR="00E86A64" w:rsidRPr="00D836A2" w:rsidRDefault="00E86A64" w:rsidP="005D10D8">
            <w:pPr>
              <w:pStyle w:val="MDPI42tablebody"/>
              <w:autoSpaceDE w:val="0"/>
              <w:autoSpaceDN w:val="0"/>
              <w:spacing w:line="240" w:lineRule="auto"/>
              <w:rPr>
                <w:sz w:val="18"/>
                <w:szCs w:val="18"/>
                <w:lang w:val="en-US" w:eastAsia="fr-FR"/>
              </w:rPr>
            </w:pPr>
            <w:r w:rsidRPr="00D836A2">
              <w:rPr>
                <w:sz w:val="18"/>
                <w:szCs w:val="18"/>
                <w:lang w:val="en-US" w:eastAsia="fr-FR"/>
              </w:rPr>
              <w:t>77.5%</w:t>
            </w:r>
          </w:p>
        </w:tc>
      </w:tr>
    </w:tbl>
    <w:p w:rsidR="00E86A64" w:rsidRPr="00D836A2" w:rsidRDefault="00E86A64" w:rsidP="005D10D8">
      <w:pPr>
        <w:pStyle w:val="MDPI43tablefooter"/>
        <w:spacing w:after="240"/>
        <w:ind w:left="425" w:right="425"/>
      </w:pPr>
      <w:r w:rsidRPr="00D836A2">
        <w:rPr>
          <w:vertAlign w:val="superscript"/>
          <w:lang w:eastAsia="fr-FR"/>
        </w:rPr>
        <w:t xml:space="preserve">1 </w:t>
      </w:r>
      <w:r w:rsidRPr="00D836A2">
        <w:rPr>
          <w:lang w:eastAsia="fr-FR"/>
        </w:rPr>
        <w:t>Ratio P/F = protein (g/100g)/fat (g/100g).</w:t>
      </w:r>
    </w:p>
    <w:p w:rsidR="005D10D8" w:rsidRPr="00D836A2" w:rsidRDefault="002C5B09" w:rsidP="005D10D8">
      <w:pPr>
        <w:pStyle w:val="MDPI31text"/>
      </w:pPr>
      <w:r w:rsidRPr="00D836A2">
        <w:t>Only two</w:t>
      </w:r>
      <w:r w:rsidR="00D836A2">
        <w:t xml:space="preserve"> individual FC</w:t>
      </w:r>
      <w:r w:rsidRPr="00D836A2">
        <w:t xml:space="preserve"> were systematically followed in </w:t>
      </w:r>
      <w:r w:rsidR="005B2438">
        <w:t>all</w:t>
      </w:r>
      <w:r w:rsidR="005B2438" w:rsidRPr="00D836A2">
        <w:t xml:space="preserve"> </w:t>
      </w:r>
      <w:r w:rsidRPr="00D836A2">
        <w:t xml:space="preserve">40 series: “dishes to fry or pre-fried dishes containing more than 15% fat” (4/20 max) and “desserts or dairy products containing more than a total of 20 g of simple sugars per portion and less than 15% fat” (4/20 max). The </w:t>
      </w:r>
      <w:r w:rsidR="00D836A2">
        <w:t>FC</w:t>
      </w:r>
      <w:r w:rsidRPr="00D836A2">
        <w:t xml:space="preserve"> on “starters containing more than 15% fat” (4/20 max) and “desserts containing more than 15% fat” (3/20 max) were also among those with the highest </w:t>
      </w:r>
      <w:r w:rsidR="004F791A">
        <w:t>percentage of fulfillment</w:t>
      </w:r>
      <w:r w:rsidRPr="00D836A2">
        <w:t>. Criteria expressed by strict</w:t>
      </w:r>
      <w:r w:rsidR="00721ED3" w:rsidRPr="00D836A2">
        <w:t xml:space="preserve"> </w:t>
      </w:r>
      <w:r w:rsidR="003E52C8" w:rsidRPr="00D836A2">
        <w:t>equality</w:t>
      </w:r>
      <w:r w:rsidRPr="00D836A2">
        <w:t xml:space="preserve">—“cooked vegetables other than pulses, alone or in a mixture containing at least 50% vegetables” (=10/20) and “pulses, starches or grains, alone or in a mixture containing at least 50% of pulses, starches or grains” (=10/20)—showed low </w:t>
      </w:r>
      <w:r w:rsidR="004F791A">
        <w:t>percentage of fulfillment</w:t>
      </w:r>
      <w:r w:rsidRPr="00D836A2">
        <w:t xml:space="preserve">(27.5% each). The criterion with the </w:t>
      </w:r>
      <w:r w:rsidR="004F791A">
        <w:t>lowest percentage of fulfillment</w:t>
      </w:r>
      <w:r w:rsidRPr="00D836A2">
        <w:t xml:space="preserve"> (25%) was the one limiting “protein dishes containing less than 70% of recommended weight for the portion of meat, fish or eggs” (3/20 max). It should be noted that dishes meeting this criterion are very diverse in terms of ingredients and therefore nutrients</w:t>
      </w:r>
      <w:r w:rsidR="005B2438">
        <w:t>.</w:t>
      </w:r>
      <w:r w:rsidRPr="00D836A2">
        <w:t xml:space="preserve"> </w:t>
      </w:r>
      <w:r w:rsidR="005B2438">
        <w:t>F</w:t>
      </w:r>
      <w:r w:rsidRPr="00D836A2">
        <w:t>or example, they include</w:t>
      </w:r>
      <w:r w:rsidRPr="00D836A2">
        <w:rPr>
          <w:rFonts w:eastAsia="Arial"/>
        </w:rPr>
        <w:t xml:space="preserve"> </w:t>
      </w:r>
      <w:r w:rsidRPr="00D836A2">
        <w:t>nuggets, lasagna, stuffed vegetables, quiches, and entirely vegetarian dishes such as tomato dumplings, cheese pizzas and Andalusian rice.</w:t>
      </w:r>
    </w:p>
    <w:p w:rsidR="002C5B09" w:rsidRPr="00D836A2" w:rsidRDefault="005D10D8" w:rsidP="005D10D8">
      <w:pPr>
        <w:pStyle w:val="MDPI12title"/>
        <w:rPr>
          <w:sz w:val="20"/>
          <w:szCs w:val="22"/>
        </w:rPr>
      </w:pPr>
      <w:r w:rsidRPr="00D836A2">
        <w:br w:type="page"/>
      </w:r>
    </w:p>
    <w:p w:rsidR="002C5B09" w:rsidRPr="00D836A2" w:rsidRDefault="002C5B09" w:rsidP="005D10D8">
      <w:pPr>
        <w:pStyle w:val="MDPI22heading2"/>
        <w:rPr>
          <w:noProof w:val="0"/>
        </w:rPr>
      </w:pPr>
      <w:r w:rsidRPr="00D836A2">
        <w:rPr>
          <w:noProof w:val="0"/>
        </w:rPr>
        <w:lastRenderedPageBreak/>
        <w:t>3.3. Nutritional Quality of the Observed Series</w:t>
      </w:r>
    </w:p>
    <w:p w:rsidR="002C5B09" w:rsidRPr="00D836A2" w:rsidRDefault="000A6F0E" w:rsidP="005D10D8">
      <w:pPr>
        <w:pStyle w:val="MDPI31text"/>
      </w:pPr>
      <w:r w:rsidRPr="00D836A2">
        <w:t xml:space="preserve">The </w:t>
      </w:r>
      <w:r w:rsidR="002C5B09" w:rsidRPr="00D836A2">
        <w:t xml:space="preserve">observed series of 20 meals provided on average 14,232 kcal, or 712 kcal per meal, with energy from proteins, fats and </w:t>
      </w:r>
      <w:r w:rsidR="00FA2929" w:rsidRPr="00D836A2">
        <w:t xml:space="preserve">carbohydrates </w:t>
      </w:r>
      <w:r w:rsidR="002C5B09" w:rsidRPr="00D836A2">
        <w:t xml:space="preserve">equal to 18%, 33% and 46% respectively, and that from free sugars and SFAs equal to 4.5% and 12.5% respectively (results not shown). </w:t>
      </w:r>
    </w:p>
    <w:p w:rsidR="00767BEB" w:rsidRPr="00D836A2" w:rsidRDefault="002C5B09" w:rsidP="005D10D8">
      <w:pPr>
        <w:pStyle w:val="MDPI31text"/>
      </w:pPr>
      <w:r w:rsidRPr="00D836A2">
        <w:t>The observed series provided 35.6% of recommended daily energy intake</w:t>
      </w:r>
      <w:r w:rsidR="00203B63" w:rsidRPr="00203B63">
        <w:t xml:space="preserve"> </w:t>
      </w:r>
      <w:r w:rsidR="00203B63" w:rsidRPr="00D836A2">
        <w:t>on average</w:t>
      </w:r>
      <w:r w:rsidRPr="00D836A2">
        <w:t xml:space="preserve">. The MAR, reached 49.3%, therefore clearly above the average threshold of 35.6% of recommended energy intake, indicating very good nutritional density in the observed series </w:t>
      </w:r>
      <w:r w:rsidRPr="00843590">
        <w:t>(</w:t>
      </w:r>
      <w:r w:rsidR="00376C3B" w:rsidRPr="004C2008">
        <w:t>Table 2</w:t>
      </w:r>
      <w:r w:rsidRPr="00843590">
        <w:t>)</w:t>
      </w:r>
      <w:r w:rsidRPr="00D836A2">
        <w:rPr>
          <w:sz w:val="16"/>
          <w:szCs w:val="16"/>
        </w:rPr>
        <w:t>.</w:t>
      </w:r>
    </w:p>
    <w:p w:rsidR="00767BEB" w:rsidRPr="00D836A2" w:rsidRDefault="00767BEB" w:rsidP="005D10D8">
      <w:pPr>
        <w:pStyle w:val="MDPI41tablecaption"/>
        <w:rPr>
          <w:vertAlign w:val="superscript"/>
        </w:rPr>
      </w:pPr>
      <w:r w:rsidRPr="00D836A2">
        <w:rPr>
          <w:b/>
        </w:rPr>
        <w:t xml:space="preserve">Table </w:t>
      </w:r>
      <w:r w:rsidR="00843590">
        <w:rPr>
          <w:b/>
        </w:rPr>
        <w:t>2</w:t>
      </w:r>
      <w:r w:rsidRPr="00D836A2">
        <w:rPr>
          <w:b/>
        </w:rPr>
        <w:t>.</w:t>
      </w:r>
      <w:r w:rsidRPr="00D836A2">
        <w:t xml:space="preserve"> Recommended </w:t>
      </w:r>
      <w:r w:rsidR="0098104E" w:rsidRPr="00D836A2">
        <w:t>d</w:t>
      </w:r>
      <w:r w:rsidRPr="00D836A2">
        <w:t xml:space="preserve">aily </w:t>
      </w:r>
      <w:r w:rsidR="0098104E" w:rsidRPr="00D836A2">
        <w:t>i</w:t>
      </w:r>
      <w:r w:rsidRPr="00D836A2">
        <w:t xml:space="preserve">ntakes of </w:t>
      </w:r>
      <w:r w:rsidR="0098104E" w:rsidRPr="00D836A2">
        <w:t>e</w:t>
      </w:r>
      <w:r w:rsidRPr="00D836A2">
        <w:t xml:space="preserve">nergy and </w:t>
      </w:r>
      <w:r w:rsidR="0098104E" w:rsidRPr="00D836A2">
        <w:t>n</w:t>
      </w:r>
      <w:r w:rsidRPr="00D836A2">
        <w:t xml:space="preserve">utrients (proteins, essential fatty acids (FAs), fiber, vitamins and minerals) included in the calculation of the Mean Adequacy Ratio (MAR) and </w:t>
      </w:r>
      <w:r w:rsidR="0098104E" w:rsidRPr="00D836A2">
        <w:t>p</w:t>
      </w:r>
      <w:r w:rsidRPr="00D836A2">
        <w:t xml:space="preserve">ercentages of these </w:t>
      </w:r>
      <w:r w:rsidR="0098104E" w:rsidRPr="00D836A2">
        <w:t>r</w:t>
      </w:r>
      <w:r w:rsidRPr="00D836A2">
        <w:t xml:space="preserve">ecommendations in the </w:t>
      </w:r>
      <w:r w:rsidR="0098104E" w:rsidRPr="00D836A2">
        <w:t>o</w:t>
      </w:r>
      <w:r w:rsidRPr="00D836A2">
        <w:t xml:space="preserve">bserved </w:t>
      </w:r>
      <w:r w:rsidR="0098104E" w:rsidRPr="00D836A2">
        <w:t>s</w:t>
      </w:r>
      <w:r w:rsidRPr="00D836A2">
        <w:t>eries</w:t>
      </w:r>
      <w:r w:rsidR="00DE7453" w:rsidRPr="00D836A2">
        <w:t xml:space="preserve"> </w:t>
      </w:r>
      <w:r w:rsidR="00DE7453" w:rsidRPr="00D836A2">
        <w:rPr>
          <w:lang w:eastAsia="fr-FR"/>
        </w:rPr>
        <w:t>of 20 meals</w:t>
      </w:r>
      <w:r w:rsidRPr="00D836A2">
        <w:t xml:space="preserve"> (N=40), </w:t>
      </w:r>
      <w:r w:rsidR="0098104E" w:rsidRPr="00D836A2">
        <w:t>e</w:t>
      </w:r>
      <w:r w:rsidRPr="00D836A2">
        <w:t xml:space="preserve">xpressed per </w:t>
      </w:r>
      <w:r w:rsidR="0098104E" w:rsidRPr="00D836A2">
        <w:t>m</w:t>
      </w:r>
      <w:r w:rsidRPr="00D836A2">
        <w:t>eal</w:t>
      </w:r>
      <w:r w:rsidRPr="00D836A2">
        <w:rPr>
          <w:vertAlign w:val="superscript"/>
        </w:rPr>
        <w:t>a</w:t>
      </w:r>
      <w:r w:rsidR="005D10D8" w:rsidRPr="00D836A2">
        <w:rPr>
          <w:vertAlign w:val="superscript"/>
        </w:rPr>
        <w:t>.</w:t>
      </w:r>
    </w:p>
    <w:tbl>
      <w:tblPr>
        <w:tblStyle w:val="Mdeck5tablebodythreelines"/>
        <w:tblW w:w="0" w:type="auto"/>
        <w:tblLayout w:type="fixed"/>
        <w:tblLook w:val="04A0" w:firstRow="1" w:lastRow="0" w:firstColumn="1" w:lastColumn="0" w:noHBand="0" w:noVBand="1"/>
      </w:tblPr>
      <w:tblGrid>
        <w:gridCol w:w="2286"/>
        <w:gridCol w:w="2214"/>
        <w:gridCol w:w="2464"/>
        <w:gridCol w:w="1206"/>
      </w:tblGrid>
      <w:tr w:rsidR="00767BEB" w:rsidRPr="00D836A2" w:rsidTr="005D10D8">
        <w:trPr>
          <w:cnfStyle w:val="100000000000" w:firstRow="1" w:lastRow="0" w:firstColumn="0" w:lastColumn="0" w:oddVBand="0" w:evenVBand="0" w:oddHBand="0" w:evenHBand="0" w:firstRowFirstColumn="0" w:firstRowLastColumn="0" w:lastRowFirstColumn="0" w:lastRowLastColumn="0"/>
        </w:trPr>
        <w:tc>
          <w:tcPr>
            <w:tcW w:w="2286" w:type="dxa"/>
            <w:noWrap/>
            <w:hideMark/>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 </w:t>
            </w:r>
          </w:p>
        </w:tc>
        <w:tc>
          <w:tcPr>
            <w:tcW w:w="2214" w:type="dxa"/>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 xml:space="preserve">Recommended </w:t>
            </w:r>
            <w:r w:rsidR="0098104E" w:rsidRPr="00D836A2">
              <w:rPr>
                <w:sz w:val="18"/>
                <w:szCs w:val="18"/>
                <w:lang w:val="en-US" w:eastAsia="fr-FR"/>
              </w:rPr>
              <w:t>d</w:t>
            </w:r>
            <w:r w:rsidRPr="00D836A2">
              <w:rPr>
                <w:sz w:val="18"/>
                <w:szCs w:val="18"/>
                <w:lang w:val="en-US" w:eastAsia="fr-FR"/>
              </w:rPr>
              <w:t xml:space="preserve">aily </w:t>
            </w:r>
            <w:r w:rsidR="0098104E" w:rsidRPr="00D836A2">
              <w:rPr>
                <w:sz w:val="18"/>
                <w:szCs w:val="18"/>
                <w:lang w:val="en-US" w:eastAsia="fr-FR"/>
              </w:rPr>
              <w:t>i</w:t>
            </w:r>
            <w:r w:rsidRPr="00D836A2">
              <w:rPr>
                <w:sz w:val="18"/>
                <w:szCs w:val="18"/>
                <w:lang w:val="en-US" w:eastAsia="fr-FR"/>
              </w:rPr>
              <w:t>ntake</w:t>
            </w:r>
          </w:p>
        </w:tc>
        <w:tc>
          <w:tcPr>
            <w:tcW w:w="2464" w:type="dxa"/>
            <w:noWrap/>
            <w:hideMark/>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 xml:space="preserve">Average </w:t>
            </w:r>
            <w:r w:rsidR="0098104E" w:rsidRPr="00D836A2">
              <w:rPr>
                <w:sz w:val="18"/>
                <w:szCs w:val="18"/>
                <w:lang w:val="en-US" w:eastAsia="fr-FR"/>
              </w:rPr>
              <w:t>c</w:t>
            </w:r>
            <w:r w:rsidRPr="00D836A2">
              <w:rPr>
                <w:sz w:val="18"/>
                <w:szCs w:val="18"/>
                <w:lang w:val="en-US" w:eastAsia="fr-FR"/>
              </w:rPr>
              <w:t>ontent (% of recommendation, expressed per meal)</w:t>
            </w:r>
          </w:p>
        </w:tc>
        <w:tc>
          <w:tcPr>
            <w:tcW w:w="1206" w:type="dxa"/>
            <w:noWrap/>
            <w:hideMark/>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Standard Deviation</w:t>
            </w:r>
          </w:p>
        </w:tc>
      </w:tr>
      <w:tr w:rsidR="00767BEB" w:rsidRPr="00D836A2" w:rsidTr="005D10D8">
        <w:tc>
          <w:tcPr>
            <w:tcW w:w="2286" w:type="dxa"/>
            <w:noWrap/>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Energy</w:t>
            </w:r>
          </w:p>
        </w:tc>
        <w:tc>
          <w:tcPr>
            <w:tcW w:w="2214" w:type="dxa"/>
          </w:tcPr>
          <w:p w:rsidR="00767BEB" w:rsidRPr="00D836A2" w:rsidRDefault="00767BEB" w:rsidP="006C5B2D">
            <w:pPr>
              <w:pStyle w:val="MDPI42tablebody"/>
              <w:autoSpaceDE w:val="0"/>
              <w:autoSpaceDN w:val="0"/>
              <w:spacing w:line="240" w:lineRule="auto"/>
              <w:rPr>
                <w:sz w:val="18"/>
                <w:szCs w:val="18"/>
                <w:lang w:val="en-US" w:eastAsia="fr-FR"/>
              </w:rPr>
            </w:pPr>
            <w:r w:rsidRPr="00D836A2">
              <w:rPr>
                <w:sz w:val="18"/>
                <w:szCs w:val="18"/>
                <w:lang w:val="en-US" w:eastAsia="fr-FR"/>
              </w:rPr>
              <w:t xml:space="preserve">1996 kcal </w:t>
            </w:r>
            <w:r w:rsidR="00FF17D2">
              <w:rPr>
                <w:sz w:val="18"/>
                <w:szCs w:val="18"/>
                <w:vertAlign w:val="superscript"/>
                <w:lang w:eastAsia="fr-FR"/>
              </w:rPr>
              <w:fldChar w:fldCharType="begin"/>
            </w:r>
            <w:r w:rsidR="006C5B2D">
              <w:rPr>
                <w:sz w:val="18"/>
                <w:szCs w:val="18"/>
                <w:vertAlign w:val="superscript"/>
                <w:lang w:val="en-US" w:eastAsia="fr-FR"/>
              </w:rPr>
              <w:instrText xml:space="preserve"> ADDIN REFMGR.CITE &lt;Refman&gt;&lt;Cite&gt;&lt;Author&gt;Martin&lt;/Author&gt;&lt;Year&gt;2001&lt;/Year&gt;&lt;RecNum&gt;1261&lt;/RecNum&gt;&lt;IDText&gt;Apports nutritionnels conseill&amp;#xE9;s pour la population fran&amp;#xE7;aise&lt;/IDText&gt;&lt;MDL Ref_Type="Book Chapter"&gt;&lt;Ref_Type&gt;Book Chapter&lt;/Ref_Type&gt;&lt;Ref_ID&gt;1261&lt;/Ref_ID&gt;&lt;Title_Primary&gt;Apports nutritionnels conseill&amp;#xE9;s pour la population fran&amp;#xE7;aise&lt;/Title_Primary&gt;&lt;Authors_Primary&gt;Martin,A.&lt;/Authors_Primary&gt;&lt;Date_Primary&gt;2001&lt;/Date_Primary&gt;&lt;Keywords&gt;population&lt;/Keywords&gt;&lt;Reprint&gt;Not in File&lt;/Reprint&gt;&lt;Volume&gt;3e&lt;/Volume&gt;&lt;Authors_Secondary&gt;Martin,A.&lt;/Authors_Secondary&gt;&lt;Issue&gt;605p&lt;/Issue&gt;&lt;Pub_Place&gt;Paris&lt;/Pub_Place&gt;&lt;Publisher&gt;Lavoisier&lt;/Publisher&gt;&lt;Title_Series&gt;Tec&amp;amp;Doc&lt;/Title_Series&gt;&lt;ZZ_WorkformID&gt;3&lt;/ZZ_WorkformID&gt;&lt;/MDL&gt;&lt;/Cite&gt;&lt;Cite&gt;&lt;Author&gt;Potier de Courcy&lt;/Author&gt;&lt;Year&gt;2003&lt;/Year&gt;&lt;RecNum&gt;5116&lt;/RecNum&gt;&lt;IDText&gt;Besoins nutritionnels et apports conseill&amp;#xE9;s pour la satisfaction de ces besoins&lt;/IDText&gt;&lt;MDL Ref_Type="Journal"&gt;&lt;Ref_Type&gt;Journal&lt;/Ref_Type&gt;&lt;Ref_ID&gt;5116&lt;/Ref_ID&gt;&lt;Title_Primary&gt;&lt;f name="Calibri"&gt;Besoins nutritionnels et apports conseill&amp;#xE9;s pour la satisfaction de ces besoins&lt;/f&gt;&lt;/Title_Primary&gt;&lt;Authors_Primary&gt;Potier de Courcy,G.&lt;/Authors_Primary&gt;&lt;Authors_Primary&gt;Frelut,M.L.&lt;/Authors_Primary&gt;&lt;Authors_Primary&gt;Fricker,J.&lt;/Authors_Primary&gt;&lt;Authors_Primary&gt;Martin,A.&lt;/Authors_Primary&gt;&lt;Authors_Primary&gt;Dupin,H.&lt;/Authors_Primary&gt;&lt;Date_Primary&gt;2003&lt;/Date_Primary&gt;&lt;Keywords&gt;De&lt;/Keywords&gt;&lt;Keywords&gt;Et&lt;/Keywords&gt;&lt;Reprint&gt;Not in File&lt;/Reprint&gt;&lt;Start_Page&gt;308&lt;/Start_Page&gt;&lt;End_Page&gt;32&lt;/End_Page&gt;&lt;Periodical&gt;Encycl M&amp;#xE9;dico-Chirurgicale&lt;/Periodical&gt;&lt;Volume&gt;10&lt;/Volume&gt;&lt;ZZ_JournalFull&gt;&lt;f name="System"&gt;Encycl M&amp;#xE9;dico-Chirurgicale&lt;/f&gt;&lt;/ZZ_JournalFull&gt;&lt;ZZ_WorkformID&gt;1&lt;/ZZ_WorkformID&gt;&lt;/MDL&gt;&lt;/Cite&gt;&lt;Cite&gt;&lt;Author&gt;Lafay&lt;/Author&gt;&lt;Year&gt;2007&lt;/Year&gt;&lt;RecNum&gt;3917&lt;/RecNum&gt;&lt;IDText&gt;Etude Individuelle et Nationale sur les Consommations Alimentaires, INCA 2 (2006-2007)&lt;/IDText&gt;&lt;MDL Ref_Type="Book, Whole"&gt;&lt;Ref_Type&gt;Book, Whole&lt;/Ref_Type&gt;&lt;Ref_ID&gt;3917&lt;/Ref_ID&gt;&lt;Title_Primary&gt;Etude Individuelle et Nationale sur les Consommations Alimentaires, INCA 2 (2006-2007)&lt;/Title_Primary&gt;&lt;Authors_Primary&gt;Lafay,L.&lt;/Authors_Primary&gt;&lt;Date_Primary&gt;2007&lt;/Date_Primary&gt;&lt;Keywords&gt;De&lt;/Keywords&gt;&lt;Keywords&gt;Et&lt;/Keywords&gt;&lt;Reprint&gt;Not in File&lt;/Reprint&gt;&lt;End_Page&gt;158p&lt;/End_Page&gt;&lt;Authors_Secondary&gt;AFSSA,Agence Fran&amp;#xE7;aise de S&amp;#xE9;curit&amp;#xE9; Sanitaire des Aliments&lt;/Authors_Secondary&gt;&lt;Pub_Place&gt;Paris&lt;/Pub_Place&gt;&lt;Publisher&gt;http://www.afssa.fr/Documents/PASER-Ra-INCA2.pdf&lt;/Publisher&gt;&lt;ZZ_WorkformID&gt;2&lt;/ZZ_WorkformID&gt;&lt;/MDL&gt;&lt;/Cite&gt;&lt;/Refman&gt;</w:instrText>
            </w:r>
            <w:r w:rsidR="00FF17D2">
              <w:rPr>
                <w:sz w:val="18"/>
                <w:szCs w:val="18"/>
                <w:vertAlign w:val="superscript"/>
                <w:lang w:eastAsia="fr-FR"/>
              </w:rPr>
              <w:fldChar w:fldCharType="separate"/>
            </w:r>
            <w:r w:rsidR="006C5B2D">
              <w:rPr>
                <w:sz w:val="18"/>
                <w:szCs w:val="18"/>
                <w:vertAlign w:val="superscript"/>
                <w:lang w:val="en-US" w:eastAsia="fr-FR"/>
              </w:rPr>
              <w:t>[24,28,29]</w:t>
            </w:r>
            <w:r w:rsidR="00FF17D2">
              <w:rPr>
                <w:sz w:val="18"/>
                <w:szCs w:val="18"/>
                <w:vertAlign w:val="superscript"/>
                <w:lang w:eastAsia="fr-FR"/>
              </w:rPr>
              <w:fldChar w:fldCharType="end"/>
            </w:r>
          </w:p>
        </w:tc>
        <w:tc>
          <w:tcPr>
            <w:tcW w:w="2464" w:type="dxa"/>
            <w:noWrap/>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35.6</w:t>
            </w:r>
          </w:p>
        </w:tc>
        <w:tc>
          <w:tcPr>
            <w:tcW w:w="1206" w:type="dxa"/>
            <w:noWrap/>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2.7</w:t>
            </w:r>
          </w:p>
        </w:tc>
      </w:tr>
      <w:tr w:rsidR="00767BEB" w:rsidRPr="00D836A2" w:rsidTr="005D10D8">
        <w:tc>
          <w:tcPr>
            <w:tcW w:w="2286" w:type="dxa"/>
            <w:noWrap/>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Protein</w:t>
            </w:r>
          </w:p>
        </w:tc>
        <w:tc>
          <w:tcPr>
            <w:tcW w:w="2214" w:type="dxa"/>
          </w:tcPr>
          <w:p w:rsidR="00767BEB" w:rsidRPr="000E3BDE" w:rsidRDefault="00767BEB" w:rsidP="006C5B2D">
            <w:pPr>
              <w:pStyle w:val="MDPI42tablebody"/>
              <w:autoSpaceDE w:val="0"/>
              <w:autoSpaceDN w:val="0"/>
              <w:spacing w:line="240" w:lineRule="auto"/>
              <w:rPr>
                <w:sz w:val="18"/>
                <w:szCs w:val="18"/>
                <w:lang w:val="fr-FR"/>
              </w:rPr>
            </w:pPr>
            <w:r w:rsidRPr="000E3BDE">
              <w:rPr>
                <w:sz w:val="18"/>
                <w:szCs w:val="18"/>
                <w:lang w:val="fr-FR"/>
              </w:rPr>
              <w:t xml:space="preserve">25 g </w:t>
            </w:r>
            <w:r w:rsidR="00FF17D2">
              <w:rPr>
                <w:sz w:val="18"/>
                <w:szCs w:val="18"/>
                <w:vertAlign w:val="superscript"/>
                <w:lang w:val="fr-FR" w:eastAsia="fr-FR"/>
              </w:rPr>
              <w:fldChar w:fldCharType="begin"/>
            </w:r>
            <w:r w:rsidR="006C5B2D">
              <w:rPr>
                <w:sz w:val="18"/>
                <w:szCs w:val="18"/>
                <w:vertAlign w:val="superscript"/>
                <w:lang w:val="fr-FR" w:eastAsia="fr-FR"/>
              </w:rPr>
              <w:instrText xml:space="preserve"> ADDIN REFMGR.CITE &lt;Refman&gt;&lt;Cite&gt;&lt;Author&gt;Potier de Courcy&lt;/Author&gt;&lt;Year&gt;2003&lt;/Year&gt;&lt;RecNum&gt;5116&lt;/RecNum&gt;&lt;IDText&gt;Besoins nutritionnels et apports conseill&amp;#xE9;s pour la satisfaction de ces besoins&lt;/IDText&gt;&lt;MDL Ref_Type="Journal"&gt;&lt;Ref_Type&gt;Journal&lt;/Ref_Type&gt;&lt;Ref_ID&gt;5116&lt;/Ref_ID&gt;&lt;Title_Primary&gt;&lt;f name="Calibri"&gt;Besoins nutritionnels et apports conseill&amp;#xE9;s pour la satisfaction de ces besoins&lt;/f&gt;&lt;/Title_Primary&gt;&lt;Authors_Primary&gt;Potier de Courcy,G.&lt;/Authors_Primary&gt;&lt;Authors_Primary&gt;Frelut,M.L.&lt;/Authors_Primary&gt;&lt;Authors_Primary&gt;Fricker,J.&lt;/Authors_Primary&gt;&lt;Authors_Primary&gt;Martin,A.&lt;/Authors_Primary&gt;&lt;Authors_Primary&gt;Dupin,H.&lt;/Authors_Primary&gt;&lt;Date_Primary&gt;2003&lt;/Date_Primary&gt;&lt;Keywords&gt;De&lt;/Keywords&gt;&lt;Keywords&gt;Et&lt;/Keywords&gt;&lt;Reprint&gt;Not in File&lt;/Reprint&gt;&lt;Start_Page&gt;308&lt;/Start_Page&gt;&lt;End_Page&gt;32&lt;/End_Page&gt;&lt;Periodical&gt;Encycl M&amp;#xE9;dico-Chirurgicale&lt;/Periodical&gt;&lt;Volume&gt;10&lt;/Volume&gt;&lt;ZZ_JournalFull&gt;&lt;f name="System"&gt;Encycl M&amp;#xE9;dico-Chirurgicale&lt;/f&gt;&lt;/ZZ_JournalFull&gt;&lt;ZZ_WorkformID&gt;1&lt;/ZZ_WorkformID&gt;&lt;/MDL&gt;&lt;/Cite&gt;&lt;Cite&gt;&lt;Author&gt;Lafay&lt;/Author&gt;&lt;Year&gt;2007&lt;/Year&gt;&lt;RecNum&gt;3917&lt;/RecNum&gt;&lt;IDText&gt;Etude Individuelle et Nationale sur les Consommations Alimentaires, INCA 2 (2006-2007)&lt;/IDText&gt;&lt;MDL Ref_Type="Book, Whole"&gt;&lt;Ref_Type&gt;Book, Whole&lt;/Ref_Type&gt;&lt;Ref_ID&gt;3917&lt;/Ref_ID&gt;&lt;Title_Primary&gt;Etude Individuelle et Nationale sur les Consommations Alimentaires, INCA 2 (2006-2007)&lt;/Title_Primary&gt;&lt;Authors_Primary&gt;Lafay,L.&lt;/Authors_Primary&gt;&lt;Date_Primary&gt;2007&lt;/Date_Primary&gt;&lt;Keywords&gt;De&lt;/Keywords&gt;&lt;Keywords&gt;Et&lt;/Keywords&gt;&lt;Reprint&gt;Not in File&lt;/Reprint&gt;&lt;End_Page&gt;158p&lt;/End_Page&gt;&lt;Authors_Secondary&gt;AFSSA,Agence Fran&amp;#xE7;aise de S&amp;#xE9;curit&amp;#xE9; Sanitaire des Aliments&lt;/Authors_Secondary&gt;&lt;Pub_Place&gt;Paris&lt;/Pub_Place&gt;&lt;Publisher&gt;http://www.afssa.fr/Documents/PASER-Ra-INCA2.pdf&lt;/Publisher&gt;&lt;ZZ_WorkformID&gt;2&lt;/ZZ_WorkformID&gt;&lt;/MDL&gt;&lt;/Cite&gt;&lt;/Refman&gt;</w:instrText>
            </w:r>
            <w:r w:rsidR="00FF17D2">
              <w:rPr>
                <w:sz w:val="18"/>
                <w:szCs w:val="18"/>
                <w:vertAlign w:val="superscript"/>
                <w:lang w:val="fr-FR" w:eastAsia="fr-FR"/>
              </w:rPr>
              <w:fldChar w:fldCharType="separate"/>
            </w:r>
            <w:r w:rsidR="006C5B2D">
              <w:rPr>
                <w:sz w:val="18"/>
                <w:szCs w:val="18"/>
                <w:vertAlign w:val="superscript"/>
                <w:lang w:val="fr-FR" w:eastAsia="fr-FR"/>
              </w:rPr>
              <w:t>[28,29]</w:t>
            </w:r>
            <w:r w:rsidR="00FF17D2">
              <w:rPr>
                <w:sz w:val="18"/>
                <w:szCs w:val="18"/>
                <w:vertAlign w:val="superscript"/>
                <w:lang w:val="fr-FR" w:eastAsia="fr-FR"/>
              </w:rPr>
              <w:fldChar w:fldCharType="end"/>
            </w:r>
          </w:p>
        </w:tc>
        <w:tc>
          <w:tcPr>
            <w:tcW w:w="2464" w:type="dxa"/>
            <w:noWrap/>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129.8</w:t>
            </w:r>
          </w:p>
        </w:tc>
        <w:tc>
          <w:tcPr>
            <w:tcW w:w="1206" w:type="dxa"/>
            <w:noWrap/>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8.5</w:t>
            </w:r>
          </w:p>
        </w:tc>
      </w:tr>
      <w:tr w:rsidR="00767BEB" w:rsidRPr="00D836A2" w:rsidTr="005D10D8">
        <w:tc>
          <w:tcPr>
            <w:tcW w:w="2286" w:type="dxa"/>
            <w:noWrap/>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Linoleic Acid</w:t>
            </w:r>
          </w:p>
        </w:tc>
        <w:tc>
          <w:tcPr>
            <w:tcW w:w="2214" w:type="dxa"/>
          </w:tcPr>
          <w:p w:rsidR="00767BEB" w:rsidRPr="000E3BDE" w:rsidRDefault="00767BEB" w:rsidP="006C5B2D">
            <w:pPr>
              <w:pStyle w:val="MDPI42tablebody"/>
              <w:autoSpaceDE w:val="0"/>
              <w:autoSpaceDN w:val="0"/>
              <w:spacing w:line="240" w:lineRule="auto"/>
              <w:rPr>
                <w:sz w:val="18"/>
                <w:szCs w:val="18"/>
                <w:lang w:val="fr-FR"/>
              </w:rPr>
            </w:pPr>
            <w:r w:rsidRPr="000E3BDE">
              <w:rPr>
                <w:sz w:val="18"/>
                <w:szCs w:val="18"/>
                <w:lang w:val="fr-FR"/>
              </w:rPr>
              <w:t xml:space="preserve">8.9 g </w:t>
            </w:r>
            <w:r w:rsidR="00FF17D2">
              <w:rPr>
                <w:sz w:val="18"/>
                <w:szCs w:val="18"/>
                <w:vertAlign w:val="superscript"/>
                <w:lang w:val="fr-FR" w:eastAsia="fr-FR"/>
              </w:rPr>
              <w:fldChar w:fldCharType="begin"/>
            </w:r>
            <w:r w:rsidR="006C5B2D">
              <w:rPr>
                <w:sz w:val="18"/>
                <w:szCs w:val="18"/>
                <w:vertAlign w:val="superscript"/>
                <w:lang w:val="fr-FR" w:eastAsia="fr-FR"/>
              </w:rPr>
              <w:instrText xml:space="preserve"> ADDIN REFMGR.CITE &lt;Refman&gt;&lt;Cite&gt;&lt;Author&gt;ANSES (Agence nationale de s&amp;#xE9;curit&amp;#xE9; sanitaire de l&amp;apos;alimentation&lt;/Author&gt;&lt;Year&gt;2011&lt;/Year&gt;&lt;RecNum&gt;5117&lt;/RecNum&gt;&lt;IDText&gt;Actualisation des apports nutritionnels conseill&amp;#xE9;s pour les acides gras&lt;/IDText&gt;&lt;MDL Ref_Type="Journal"&gt;&lt;Ref_Type&gt;Journal&lt;/Ref_Type&gt;&lt;Ref_ID&gt;5117&lt;/Ref_ID&gt;&lt;Title_Primary&gt;Actualisation des apports nutritionnels conseill&amp;#xE9;s pour les acides gras&lt;/Title_Primary&gt;&lt;Authors_Primary&gt;ANSES (Agence nationale de s&amp;#xE9;curit&amp;#xE9; sanitaire de l&amp;apos;alimentation,de l&amp;apos;environnement et du travail)&lt;/Authors_Primary&gt;&lt;Date_Primary&gt;2011&lt;/Date_Primary&gt;&lt;Keywords&gt;De&lt;/Keywords&gt;&lt;Reprint&gt;Not in File&lt;/Reprint&gt;&lt;Periodical&gt;Rapport d&amp;apos;expertise collective&lt;/Periodical&gt;&lt;ZZ_JournalFull&gt;&lt;f name="System"&gt;Rapport d&amp;apos;expertise collective&lt;/f&gt;&lt;/ZZ_JournalFull&gt;&lt;ZZ_WorkformID&gt;1&lt;/ZZ_WorkformID&gt;&lt;/MDL&gt;&lt;/Cite&gt;&lt;/Refman&gt;</w:instrText>
            </w:r>
            <w:r w:rsidR="00FF17D2">
              <w:rPr>
                <w:sz w:val="18"/>
                <w:szCs w:val="18"/>
                <w:vertAlign w:val="superscript"/>
                <w:lang w:val="fr-FR" w:eastAsia="fr-FR"/>
              </w:rPr>
              <w:fldChar w:fldCharType="separate"/>
            </w:r>
            <w:r w:rsidR="006C5B2D">
              <w:rPr>
                <w:sz w:val="18"/>
                <w:szCs w:val="18"/>
                <w:vertAlign w:val="superscript"/>
                <w:lang w:val="fr-FR" w:eastAsia="fr-FR"/>
              </w:rPr>
              <w:t>[30]</w:t>
            </w:r>
            <w:r w:rsidR="00FF17D2">
              <w:rPr>
                <w:sz w:val="18"/>
                <w:szCs w:val="18"/>
                <w:vertAlign w:val="superscript"/>
                <w:lang w:val="fr-FR" w:eastAsia="fr-FR"/>
              </w:rPr>
              <w:fldChar w:fldCharType="end"/>
            </w:r>
          </w:p>
        </w:tc>
        <w:tc>
          <w:tcPr>
            <w:tcW w:w="2464" w:type="dxa"/>
            <w:noWrap/>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39.3</w:t>
            </w:r>
          </w:p>
        </w:tc>
        <w:tc>
          <w:tcPr>
            <w:tcW w:w="1206" w:type="dxa"/>
            <w:noWrap/>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10.2</w:t>
            </w:r>
          </w:p>
        </w:tc>
      </w:tr>
      <w:tr w:rsidR="00767BEB" w:rsidRPr="00D836A2" w:rsidTr="005D10D8">
        <w:tc>
          <w:tcPr>
            <w:tcW w:w="2286" w:type="dxa"/>
            <w:noWrap/>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α-Linolenic Acid</w:t>
            </w:r>
          </w:p>
        </w:tc>
        <w:tc>
          <w:tcPr>
            <w:tcW w:w="2214" w:type="dxa"/>
          </w:tcPr>
          <w:p w:rsidR="00767BEB" w:rsidRPr="000E3BDE" w:rsidRDefault="00767BEB" w:rsidP="006C5B2D">
            <w:pPr>
              <w:pStyle w:val="MDPI42tablebody"/>
              <w:autoSpaceDE w:val="0"/>
              <w:autoSpaceDN w:val="0"/>
              <w:spacing w:line="240" w:lineRule="auto"/>
              <w:rPr>
                <w:sz w:val="18"/>
                <w:szCs w:val="18"/>
                <w:lang w:val="fr-FR"/>
              </w:rPr>
            </w:pPr>
            <w:r w:rsidRPr="000E3BDE">
              <w:rPr>
                <w:sz w:val="18"/>
                <w:szCs w:val="18"/>
                <w:lang w:val="fr-FR"/>
              </w:rPr>
              <w:t xml:space="preserve">2.2 g </w:t>
            </w:r>
            <w:r w:rsidR="00FF17D2">
              <w:rPr>
                <w:sz w:val="18"/>
                <w:szCs w:val="18"/>
                <w:vertAlign w:val="superscript"/>
                <w:lang w:val="fr-FR" w:eastAsia="fr-FR"/>
              </w:rPr>
              <w:fldChar w:fldCharType="begin"/>
            </w:r>
            <w:r w:rsidR="006C5B2D">
              <w:rPr>
                <w:sz w:val="18"/>
                <w:szCs w:val="18"/>
                <w:vertAlign w:val="superscript"/>
                <w:lang w:val="fr-FR" w:eastAsia="fr-FR"/>
              </w:rPr>
              <w:instrText xml:space="preserve"> ADDIN REFMGR.CITE &lt;Refman&gt;&lt;Cite&gt;&lt;Author&gt;ANSES (Agence nationale de s&amp;#xE9;curit&amp;#xE9; sanitaire de l&amp;apos;alimentation&lt;/Author&gt;&lt;Year&gt;2011&lt;/Year&gt;&lt;RecNum&gt;5117&lt;/RecNum&gt;&lt;IDText&gt;Actualisation des apports nutritionnels conseill&amp;#xE9;s pour les acides gras&lt;/IDText&gt;&lt;MDL Ref_Type="Journal"&gt;&lt;Ref_Type&gt;Journal&lt;/Ref_Type&gt;&lt;Ref_ID&gt;5117&lt;/Ref_ID&gt;&lt;Title_Primary&gt;Actualisation des apports nutritionnels conseill&amp;#xE9;s pour les acides gras&lt;/Title_Primary&gt;&lt;Authors_Primary&gt;ANSES (Agence nationale de s&amp;#xE9;curit&amp;#xE9; sanitaire de l&amp;apos;alimentation,de l&amp;apos;environnement et du travail)&lt;/Authors_Primary&gt;&lt;Date_Primary&gt;2011&lt;/Date_Primary&gt;&lt;Keywords&gt;De&lt;/Keywords&gt;&lt;Reprint&gt;Not in File&lt;/Reprint&gt;&lt;Periodical&gt;Rapport d&amp;apos;expertise collective&lt;/Periodical&gt;&lt;ZZ_JournalFull&gt;&lt;f name="System"&gt;Rapport d&amp;apos;expertise collective&lt;/f&gt;&lt;/ZZ_JournalFull&gt;&lt;ZZ_WorkformID&gt;1&lt;/ZZ_WorkformID&gt;&lt;/MDL&gt;&lt;/Cite&gt;&lt;/Refman&gt;</w:instrText>
            </w:r>
            <w:r w:rsidR="00FF17D2">
              <w:rPr>
                <w:sz w:val="18"/>
                <w:szCs w:val="18"/>
                <w:vertAlign w:val="superscript"/>
                <w:lang w:val="fr-FR" w:eastAsia="fr-FR"/>
              </w:rPr>
              <w:fldChar w:fldCharType="separate"/>
            </w:r>
            <w:r w:rsidR="006C5B2D">
              <w:rPr>
                <w:sz w:val="18"/>
                <w:szCs w:val="18"/>
                <w:vertAlign w:val="superscript"/>
                <w:lang w:val="fr-FR" w:eastAsia="fr-FR"/>
              </w:rPr>
              <w:t>[30]</w:t>
            </w:r>
            <w:r w:rsidR="00FF17D2">
              <w:rPr>
                <w:sz w:val="18"/>
                <w:szCs w:val="18"/>
                <w:vertAlign w:val="superscript"/>
                <w:lang w:val="fr-FR" w:eastAsia="fr-FR"/>
              </w:rPr>
              <w:fldChar w:fldCharType="end"/>
            </w:r>
          </w:p>
        </w:tc>
        <w:tc>
          <w:tcPr>
            <w:tcW w:w="2464" w:type="dxa"/>
            <w:noWrap/>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20.4</w:t>
            </w:r>
          </w:p>
        </w:tc>
        <w:tc>
          <w:tcPr>
            <w:tcW w:w="1206" w:type="dxa"/>
            <w:noWrap/>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8.3</w:t>
            </w:r>
          </w:p>
        </w:tc>
      </w:tr>
      <w:tr w:rsidR="00767BEB" w:rsidRPr="00D836A2" w:rsidTr="005D10D8">
        <w:tc>
          <w:tcPr>
            <w:tcW w:w="2286" w:type="dxa"/>
            <w:noWrap/>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DHA</w:t>
            </w:r>
          </w:p>
        </w:tc>
        <w:tc>
          <w:tcPr>
            <w:tcW w:w="2214" w:type="dxa"/>
          </w:tcPr>
          <w:p w:rsidR="00767BEB" w:rsidRPr="000E3BDE" w:rsidRDefault="00767BEB" w:rsidP="006C5B2D">
            <w:pPr>
              <w:pStyle w:val="MDPI42tablebody"/>
              <w:autoSpaceDE w:val="0"/>
              <w:autoSpaceDN w:val="0"/>
              <w:spacing w:line="240" w:lineRule="auto"/>
              <w:rPr>
                <w:sz w:val="18"/>
                <w:szCs w:val="18"/>
                <w:lang w:val="fr-FR"/>
              </w:rPr>
            </w:pPr>
            <w:r w:rsidRPr="000E3BDE">
              <w:rPr>
                <w:sz w:val="18"/>
                <w:szCs w:val="18"/>
                <w:lang w:val="fr-FR"/>
              </w:rPr>
              <w:t xml:space="preserve">152 mg </w:t>
            </w:r>
            <w:r w:rsidR="00FF17D2">
              <w:rPr>
                <w:sz w:val="18"/>
                <w:szCs w:val="18"/>
                <w:vertAlign w:val="superscript"/>
                <w:lang w:val="fr-FR" w:eastAsia="fr-FR"/>
              </w:rPr>
              <w:fldChar w:fldCharType="begin"/>
            </w:r>
            <w:r w:rsidR="006C5B2D">
              <w:rPr>
                <w:sz w:val="18"/>
                <w:szCs w:val="18"/>
                <w:vertAlign w:val="superscript"/>
                <w:lang w:val="fr-FR" w:eastAsia="fr-FR"/>
              </w:rPr>
              <w:instrText xml:space="preserve"> ADDIN REFMGR.CITE &lt;Refman&gt;&lt;Cite&gt;&lt;Author&gt;ANSES (Agence nationale de s&amp;#xE9;curit&amp;#xE9; sanitaire de l&amp;apos;alimentation&lt;/Author&gt;&lt;Year&gt;2011&lt;/Year&gt;&lt;RecNum&gt;5117&lt;/RecNum&gt;&lt;IDText&gt;Actualisation des apports nutritionnels conseill&amp;#xE9;s pour les acides gras&lt;/IDText&gt;&lt;MDL Ref_Type="Journal"&gt;&lt;Ref_Type&gt;Journal&lt;/Ref_Type&gt;&lt;Ref_ID&gt;5117&lt;/Ref_ID&gt;&lt;Title_Primary&gt;Actualisation des apports nutritionnels conseill&amp;#xE9;s pour les acides gras&lt;/Title_Primary&gt;&lt;Authors_Primary&gt;ANSES (Agence nationale de s&amp;#xE9;curit&amp;#xE9; sanitaire de l&amp;apos;alimentation,de l&amp;apos;environnement et du travail)&lt;/Authors_Primary&gt;&lt;Date_Primary&gt;2011&lt;/Date_Primary&gt;&lt;Keywords&gt;De&lt;/Keywords&gt;&lt;Reprint&gt;Not in File&lt;/Reprint&gt;&lt;Periodical&gt;Rapport d&amp;apos;expertise collective&lt;/Periodical&gt;&lt;ZZ_JournalFull&gt;&lt;f name="System"&gt;Rapport d&amp;apos;expertise collective&lt;/f&gt;&lt;/ZZ_JournalFull&gt;&lt;ZZ_WorkformID&gt;1&lt;/ZZ_WorkformID&gt;&lt;/MDL&gt;&lt;/Cite&gt;&lt;/Refman&gt;</w:instrText>
            </w:r>
            <w:r w:rsidR="00FF17D2">
              <w:rPr>
                <w:sz w:val="18"/>
                <w:szCs w:val="18"/>
                <w:vertAlign w:val="superscript"/>
                <w:lang w:val="fr-FR" w:eastAsia="fr-FR"/>
              </w:rPr>
              <w:fldChar w:fldCharType="separate"/>
            </w:r>
            <w:r w:rsidR="006C5B2D">
              <w:rPr>
                <w:sz w:val="18"/>
                <w:szCs w:val="18"/>
                <w:vertAlign w:val="superscript"/>
                <w:lang w:val="fr-FR" w:eastAsia="fr-FR"/>
              </w:rPr>
              <w:t>[30]</w:t>
            </w:r>
            <w:r w:rsidR="00FF17D2">
              <w:rPr>
                <w:sz w:val="18"/>
                <w:szCs w:val="18"/>
                <w:vertAlign w:val="superscript"/>
                <w:lang w:val="fr-FR" w:eastAsia="fr-FR"/>
              </w:rPr>
              <w:fldChar w:fldCharType="end"/>
            </w:r>
          </w:p>
        </w:tc>
        <w:tc>
          <w:tcPr>
            <w:tcW w:w="2464" w:type="dxa"/>
            <w:noWrap/>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42.2</w:t>
            </w:r>
          </w:p>
        </w:tc>
        <w:tc>
          <w:tcPr>
            <w:tcW w:w="1206" w:type="dxa"/>
            <w:noWrap/>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18.0</w:t>
            </w:r>
          </w:p>
        </w:tc>
      </w:tr>
      <w:tr w:rsidR="00767BEB" w:rsidRPr="00D836A2" w:rsidTr="005D10D8">
        <w:tc>
          <w:tcPr>
            <w:tcW w:w="2286" w:type="dxa"/>
            <w:noWrap/>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Fiber</w:t>
            </w:r>
          </w:p>
        </w:tc>
        <w:tc>
          <w:tcPr>
            <w:tcW w:w="2214" w:type="dxa"/>
          </w:tcPr>
          <w:p w:rsidR="00767BEB" w:rsidRPr="00D836A2" w:rsidRDefault="00767BEB" w:rsidP="006C5B2D">
            <w:pPr>
              <w:pStyle w:val="MDPI42tablebody"/>
              <w:autoSpaceDE w:val="0"/>
              <w:autoSpaceDN w:val="0"/>
              <w:spacing w:line="240" w:lineRule="auto"/>
              <w:rPr>
                <w:sz w:val="18"/>
                <w:szCs w:val="18"/>
                <w:lang w:val="en-US"/>
              </w:rPr>
            </w:pPr>
            <w:r w:rsidRPr="00D836A2">
              <w:rPr>
                <w:sz w:val="18"/>
                <w:szCs w:val="18"/>
                <w:lang w:val="en-US"/>
              </w:rPr>
              <w:t xml:space="preserve">13 g </w:t>
            </w:r>
            <w:r w:rsidR="00FF17D2">
              <w:rPr>
                <w:sz w:val="18"/>
                <w:szCs w:val="18"/>
                <w:vertAlign w:val="superscript"/>
                <w:lang w:eastAsia="fr-FR"/>
              </w:rPr>
              <w:fldChar w:fldCharType="begin"/>
            </w:r>
            <w:r w:rsidR="006C5B2D">
              <w:rPr>
                <w:sz w:val="18"/>
                <w:szCs w:val="18"/>
                <w:vertAlign w:val="superscript"/>
                <w:lang w:val="en-US" w:eastAsia="fr-FR"/>
              </w:rPr>
              <w:instrText xml:space="preserve"> ADDIN REFMGR.CITE &lt;Refman&gt;&lt;Cite&gt;&lt;Author&gt;Martin&lt;/Author&gt;&lt;Year&gt;2001&lt;/Year&gt;&lt;RecNum&gt;1261&lt;/RecNum&gt;&lt;IDText&gt;Apports nutritionnels conseill&amp;#xE9;s pour la population fran&amp;#xE7;aise&lt;/IDText&gt;&lt;MDL Ref_Type="Book Chapter"&gt;&lt;Ref_Type&gt;Book Chapter&lt;/Ref_Type&gt;&lt;Ref_ID&gt;1261&lt;/Ref_ID&gt;&lt;Title_Primary&gt;Apports nutritionnels conseill&amp;#xE9;s pour la population fran&amp;#xE7;aise&lt;/Title_Primary&gt;&lt;Authors_Primary&gt;Martin,A.&lt;/Authors_Primary&gt;&lt;Date_Primary&gt;2001&lt;/Date_Primary&gt;&lt;Keywords&gt;population&lt;/Keywords&gt;&lt;Reprint&gt;Not in File&lt;/Reprint&gt;&lt;Volume&gt;3e&lt;/Volume&gt;&lt;Authors_Secondary&gt;Martin,A.&lt;/Authors_Secondary&gt;&lt;Issue&gt;605p&lt;/Issue&gt;&lt;Pub_Place&gt;Paris&lt;/Pub_Place&gt;&lt;Publisher&gt;Lavoisier&lt;/Publisher&gt;&lt;Title_Series&gt;Tec&amp;amp;Doc&lt;/Title_Series&gt;&lt;ZZ_WorkformID&gt;3&lt;/ZZ_WorkformID&gt;&lt;/MDL&gt;&lt;/Cite&gt;&lt;/Refman&gt;</w:instrText>
            </w:r>
            <w:r w:rsidR="00FF17D2">
              <w:rPr>
                <w:sz w:val="18"/>
                <w:szCs w:val="18"/>
                <w:vertAlign w:val="superscript"/>
                <w:lang w:eastAsia="fr-FR"/>
              </w:rPr>
              <w:fldChar w:fldCharType="separate"/>
            </w:r>
            <w:r w:rsidR="006C5B2D">
              <w:rPr>
                <w:sz w:val="18"/>
                <w:szCs w:val="18"/>
                <w:vertAlign w:val="superscript"/>
                <w:lang w:val="en-US" w:eastAsia="fr-FR"/>
              </w:rPr>
              <w:t>[24]</w:t>
            </w:r>
            <w:r w:rsidR="00FF17D2">
              <w:rPr>
                <w:sz w:val="18"/>
                <w:szCs w:val="18"/>
                <w:vertAlign w:val="superscript"/>
                <w:lang w:eastAsia="fr-FR"/>
              </w:rPr>
              <w:fldChar w:fldCharType="end"/>
            </w:r>
          </w:p>
        </w:tc>
        <w:tc>
          <w:tcPr>
            <w:tcW w:w="2464" w:type="dxa"/>
            <w:noWrap/>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59.5</w:t>
            </w:r>
          </w:p>
        </w:tc>
        <w:tc>
          <w:tcPr>
            <w:tcW w:w="1206" w:type="dxa"/>
            <w:noWrap/>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6.2</w:t>
            </w:r>
          </w:p>
        </w:tc>
      </w:tr>
      <w:tr w:rsidR="00767BEB" w:rsidRPr="00D836A2" w:rsidTr="005D10D8">
        <w:tc>
          <w:tcPr>
            <w:tcW w:w="2286" w:type="dxa"/>
            <w:noWrap/>
            <w:hideMark/>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 xml:space="preserve">Vitamin B1 </w:t>
            </w:r>
          </w:p>
        </w:tc>
        <w:tc>
          <w:tcPr>
            <w:tcW w:w="2214" w:type="dxa"/>
          </w:tcPr>
          <w:p w:rsidR="00767BEB" w:rsidRPr="00D836A2" w:rsidRDefault="00767BEB" w:rsidP="006C5B2D">
            <w:pPr>
              <w:pStyle w:val="MDPI42tablebody"/>
              <w:autoSpaceDE w:val="0"/>
              <w:autoSpaceDN w:val="0"/>
              <w:spacing w:line="240" w:lineRule="auto"/>
              <w:rPr>
                <w:sz w:val="18"/>
                <w:szCs w:val="18"/>
                <w:lang w:val="en-US"/>
              </w:rPr>
            </w:pPr>
            <w:r w:rsidRPr="00D836A2">
              <w:rPr>
                <w:sz w:val="18"/>
                <w:szCs w:val="18"/>
                <w:lang w:val="en-US"/>
              </w:rPr>
              <w:t xml:space="preserve">0.8 mg </w:t>
            </w:r>
            <w:r w:rsidR="00FF17D2">
              <w:rPr>
                <w:sz w:val="18"/>
                <w:szCs w:val="18"/>
                <w:vertAlign w:val="superscript"/>
                <w:lang w:eastAsia="fr-FR"/>
              </w:rPr>
              <w:fldChar w:fldCharType="begin"/>
            </w:r>
            <w:r w:rsidR="006C5B2D">
              <w:rPr>
                <w:sz w:val="18"/>
                <w:szCs w:val="18"/>
                <w:vertAlign w:val="superscript"/>
                <w:lang w:val="en-US" w:eastAsia="fr-FR"/>
              </w:rPr>
              <w:instrText xml:space="preserve"> ADDIN REFMGR.CITE &lt;Refman&gt;&lt;Cite&gt;&lt;Author&gt;Martin&lt;/Author&gt;&lt;Year&gt;2001&lt;/Year&gt;&lt;RecNum&gt;1261&lt;/RecNum&gt;&lt;IDText&gt;Apports nutritionnels conseill&amp;#xE9;s pour la population fran&amp;#xE7;aise&lt;/IDText&gt;&lt;MDL Ref_Type="Book Chapter"&gt;&lt;Ref_Type&gt;Book Chapter&lt;/Ref_Type&gt;&lt;Ref_ID&gt;1261&lt;/Ref_ID&gt;&lt;Title_Primary&gt;Apports nutritionnels conseill&amp;#xE9;s pour la population fran&amp;#xE7;aise&lt;/Title_Primary&gt;&lt;Authors_Primary&gt;Martin,A.&lt;/Authors_Primary&gt;&lt;Date_Primary&gt;2001&lt;/Date_Primary&gt;&lt;Keywords&gt;population&lt;/Keywords&gt;&lt;Reprint&gt;Not in File&lt;/Reprint&gt;&lt;Volume&gt;3e&lt;/Volume&gt;&lt;Authors_Secondary&gt;Martin,A.&lt;/Authors_Secondary&gt;&lt;Issue&gt;605p&lt;/Issue&gt;&lt;Pub_Place&gt;Paris&lt;/Pub_Place&gt;&lt;Publisher&gt;Lavoisier&lt;/Publisher&gt;&lt;Title_Series&gt;Tec&amp;amp;Doc&lt;/Title_Series&gt;&lt;ZZ_WorkformID&gt;3&lt;/ZZ_WorkformID&gt;&lt;/MDL&gt;&lt;/Cite&gt;&lt;/Refman&gt;</w:instrText>
            </w:r>
            <w:r w:rsidR="00FF17D2">
              <w:rPr>
                <w:sz w:val="18"/>
                <w:szCs w:val="18"/>
                <w:vertAlign w:val="superscript"/>
                <w:lang w:eastAsia="fr-FR"/>
              </w:rPr>
              <w:fldChar w:fldCharType="separate"/>
            </w:r>
            <w:r w:rsidR="006C5B2D">
              <w:rPr>
                <w:sz w:val="18"/>
                <w:szCs w:val="18"/>
                <w:vertAlign w:val="superscript"/>
                <w:lang w:val="en-US" w:eastAsia="fr-FR"/>
              </w:rPr>
              <w:t>[24]</w:t>
            </w:r>
            <w:r w:rsidR="00FF17D2">
              <w:rPr>
                <w:sz w:val="18"/>
                <w:szCs w:val="18"/>
                <w:vertAlign w:val="superscript"/>
                <w:lang w:eastAsia="fr-FR"/>
              </w:rPr>
              <w:fldChar w:fldCharType="end"/>
            </w:r>
          </w:p>
        </w:tc>
        <w:tc>
          <w:tcPr>
            <w:tcW w:w="2464"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46.3</w:t>
            </w:r>
          </w:p>
        </w:tc>
        <w:tc>
          <w:tcPr>
            <w:tcW w:w="1206"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5.2</w:t>
            </w:r>
          </w:p>
        </w:tc>
      </w:tr>
      <w:tr w:rsidR="00767BEB" w:rsidRPr="00D836A2" w:rsidTr="005D10D8">
        <w:tc>
          <w:tcPr>
            <w:tcW w:w="2286" w:type="dxa"/>
            <w:noWrap/>
            <w:hideMark/>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 xml:space="preserve">Vitamin B2 </w:t>
            </w:r>
          </w:p>
        </w:tc>
        <w:tc>
          <w:tcPr>
            <w:tcW w:w="2214" w:type="dxa"/>
          </w:tcPr>
          <w:p w:rsidR="00767BEB" w:rsidRPr="00D836A2" w:rsidRDefault="00767BEB" w:rsidP="006C5B2D">
            <w:pPr>
              <w:pStyle w:val="MDPI42tablebody"/>
              <w:autoSpaceDE w:val="0"/>
              <w:autoSpaceDN w:val="0"/>
              <w:spacing w:line="240" w:lineRule="auto"/>
              <w:rPr>
                <w:sz w:val="18"/>
                <w:szCs w:val="18"/>
                <w:lang w:val="en-US"/>
              </w:rPr>
            </w:pPr>
            <w:r w:rsidRPr="00D836A2">
              <w:rPr>
                <w:sz w:val="18"/>
                <w:szCs w:val="18"/>
                <w:lang w:val="en-US"/>
              </w:rPr>
              <w:t xml:space="preserve">1.2 mg </w:t>
            </w:r>
            <w:r w:rsidR="00FF17D2">
              <w:rPr>
                <w:sz w:val="18"/>
                <w:szCs w:val="18"/>
                <w:vertAlign w:val="superscript"/>
                <w:lang w:eastAsia="fr-FR"/>
              </w:rPr>
              <w:fldChar w:fldCharType="begin"/>
            </w:r>
            <w:r w:rsidR="006C5B2D">
              <w:rPr>
                <w:sz w:val="18"/>
                <w:szCs w:val="18"/>
                <w:vertAlign w:val="superscript"/>
                <w:lang w:val="en-US" w:eastAsia="fr-FR"/>
              </w:rPr>
              <w:instrText xml:space="preserve"> ADDIN REFMGR.CITE &lt;Refman&gt;&lt;Cite&gt;&lt;Author&gt;Martin&lt;/Author&gt;&lt;Year&gt;2001&lt;/Year&gt;&lt;RecNum&gt;1261&lt;/RecNum&gt;&lt;IDText&gt;Apports nutritionnels conseill&amp;#xE9;s pour la population fran&amp;#xE7;aise&lt;/IDText&gt;&lt;MDL Ref_Type="Book Chapter"&gt;&lt;Ref_Type&gt;Book Chapter&lt;/Ref_Type&gt;&lt;Ref_ID&gt;1261&lt;/Ref_ID&gt;&lt;Title_Primary&gt;Apports nutritionnels conseill&amp;#xE9;s pour la population fran&amp;#xE7;aise&lt;/Title_Primary&gt;&lt;Authors_Primary&gt;Martin,A.&lt;/Authors_Primary&gt;&lt;Date_Primary&gt;2001&lt;/Date_Primary&gt;&lt;Keywords&gt;population&lt;/Keywords&gt;&lt;Reprint&gt;Not in File&lt;/Reprint&gt;&lt;Volume&gt;3e&lt;/Volume&gt;&lt;Authors_Secondary&gt;Martin,A.&lt;/Authors_Secondary&gt;&lt;Issue&gt;605p&lt;/Issue&gt;&lt;Pub_Place&gt;Paris&lt;/Pub_Place&gt;&lt;Publisher&gt;Lavoisier&lt;/Publisher&gt;&lt;Title_Series&gt;Tec&amp;amp;Doc&lt;/Title_Series&gt;&lt;ZZ_WorkformID&gt;3&lt;/ZZ_WorkformID&gt;&lt;/MDL&gt;&lt;/Cite&gt;&lt;/Refman&gt;</w:instrText>
            </w:r>
            <w:r w:rsidR="00FF17D2">
              <w:rPr>
                <w:sz w:val="18"/>
                <w:szCs w:val="18"/>
                <w:vertAlign w:val="superscript"/>
                <w:lang w:eastAsia="fr-FR"/>
              </w:rPr>
              <w:fldChar w:fldCharType="separate"/>
            </w:r>
            <w:r w:rsidR="006C5B2D">
              <w:rPr>
                <w:sz w:val="18"/>
                <w:szCs w:val="18"/>
                <w:vertAlign w:val="superscript"/>
                <w:lang w:val="en-US" w:eastAsia="fr-FR"/>
              </w:rPr>
              <w:t>[24]</w:t>
            </w:r>
            <w:r w:rsidR="00FF17D2">
              <w:rPr>
                <w:sz w:val="18"/>
                <w:szCs w:val="18"/>
                <w:vertAlign w:val="superscript"/>
                <w:lang w:eastAsia="fr-FR"/>
              </w:rPr>
              <w:fldChar w:fldCharType="end"/>
            </w:r>
          </w:p>
        </w:tc>
        <w:tc>
          <w:tcPr>
            <w:tcW w:w="2464"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38.2</w:t>
            </w:r>
          </w:p>
        </w:tc>
        <w:tc>
          <w:tcPr>
            <w:tcW w:w="1206"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3.4</w:t>
            </w:r>
          </w:p>
        </w:tc>
      </w:tr>
      <w:tr w:rsidR="00767BEB" w:rsidRPr="00D836A2" w:rsidTr="005D10D8">
        <w:tc>
          <w:tcPr>
            <w:tcW w:w="2286" w:type="dxa"/>
            <w:noWrap/>
            <w:hideMark/>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 xml:space="preserve">Vitamin B3 </w:t>
            </w:r>
          </w:p>
        </w:tc>
        <w:tc>
          <w:tcPr>
            <w:tcW w:w="2214" w:type="dxa"/>
          </w:tcPr>
          <w:p w:rsidR="00767BEB" w:rsidRPr="00D836A2" w:rsidRDefault="00767BEB" w:rsidP="006C5B2D">
            <w:pPr>
              <w:pStyle w:val="MDPI42tablebody"/>
              <w:autoSpaceDE w:val="0"/>
              <w:autoSpaceDN w:val="0"/>
              <w:spacing w:line="240" w:lineRule="auto"/>
              <w:rPr>
                <w:sz w:val="18"/>
                <w:szCs w:val="18"/>
                <w:lang w:val="en-US"/>
              </w:rPr>
            </w:pPr>
            <w:r w:rsidRPr="00D836A2">
              <w:rPr>
                <w:sz w:val="18"/>
                <w:szCs w:val="18"/>
                <w:lang w:val="en-US"/>
              </w:rPr>
              <w:t xml:space="preserve">9 mg </w:t>
            </w:r>
            <w:r w:rsidR="00FF17D2">
              <w:rPr>
                <w:sz w:val="18"/>
                <w:szCs w:val="18"/>
                <w:vertAlign w:val="superscript"/>
                <w:lang w:eastAsia="fr-FR"/>
              </w:rPr>
              <w:fldChar w:fldCharType="begin"/>
            </w:r>
            <w:r w:rsidR="006C5B2D">
              <w:rPr>
                <w:sz w:val="18"/>
                <w:szCs w:val="18"/>
                <w:vertAlign w:val="superscript"/>
                <w:lang w:val="en-US" w:eastAsia="fr-FR"/>
              </w:rPr>
              <w:instrText xml:space="preserve"> ADDIN REFMGR.CITE &lt;Refman&gt;&lt;Cite&gt;&lt;Author&gt;Martin&lt;/Author&gt;&lt;Year&gt;2001&lt;/Year&gt;&lt;RecNum&gt;1261&lt;/RecNum&gt;&lt;IDText&gt;Apports nutritionnels conseill&amp;#xE9;s pour la population fran&amp;#xE7;aise&lt;/IDText&gt;&lt;MDL Ref_Type="Book Chapter"&gt;&lt;Ref_Type&gt;Book Chapter&lt;/Ref_Type&gt;&lt;Ref_ID&gt;1261&lt;/Ref_ID&gt;&lt;Title_Primary&gt;Apports nutritionnels conseill&amp;#xE9;s pour la population fran&amp;#xE7;aise&lt;/Title_Primary&gt;&lt;Authors_Primary&gt;Martin,A.&lt;/Authors_Primary&gt;&lt;Date_Primary&gt;2001&lt;/Date_Primary&gt;&lt;Keywords&gt;population&lt;/Keywords&gt;&lt;Reprint&gt;Not in File&lt;/Reprint&gt;&lt;Volume&gt;3e&lt;/Volume&gt;&lt;Authors_Secondary&gt;Martin,A.&lt;/Authors_Secondary&gt;&lt;Issue&gt;605p&lt;/Issue&gt;&lt;Pub_Place&gt;Paris&lt;/Pub_Place&gt;&lt;Publisher&gt;Lavoisier&lt;/Publisher&gt;&lt;Title_Series&gt;Tec&amp;amp;Doc&lt;/Title_Series&gt;&lt;ZZ_WorkformID&gt;3&lt;/ZZ_WorkformID&gt;&lt;/MDL&gt;&lt;/Cite&gt;&lt;/Refman&gt;</w:instrText>
            </w:r>
            <w:r w:rsidR="00FF17D2">
              <w:rPr>
                <w:sz w:val="18"/>
                <w:szCs w:val="18"/>
                <w:vertAlign w:val="superscript"/>
                <w:lang w:eastAsia="fr-FR"/>
              </w:rPr>
              <w:fldChar w:fldCharType="separate"/>
            </w:r>
            <w:r w:rsidR="006C5B2D">
              <w:rPr>
                <w:sz w:val="18"/>
                <w:szCs w:val="18"/>
                <w:vertAlign w:val="superscript"/>
                <w:lang w:val="en-US" w:eastAsia="fr-FR"/>
              </w:rPr>
              <w:t>[24]</w:t>
            </w:r>
            <w:r w:rsidR="00FF17D2">
              <w:rPr>
                <w:sz w:val="18"/>
                <w:szCs w:val="18"/>
                <w:vertAlign w:val="superscript"/>
                <w:lang w:eastAsia="fr-FR"/>
              </w:rPr>
              <w:fldChar w:fldCharType="end"/>
            </w:r>
          </w:p>
        </w:tc>
        <w:tc>
          <w:tcPr>
            <w:tcW w:w="2464"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64.9</w:t>
            </w:r>
          </w:p>
        </w:tc>
        <w:tc>
          <w:tcPr>
            <w:tcW w:w="1206"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8.9</w:t>
            </w:r>
          </w:p>
        </w:tc>
      </w:tr>
      <w:tr w:rsidR="00767BEB" w:rsidRPr="00D836A2" w:rsidTr="005D10D8">
        <w:tc>
          <w:tcPr>
            <w:tcW w:w="2286" w:type="dxa"/>
            <w:noWrap/>
            <w:hideMark/>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 xml:space="preserve">Vitamin B6 </w:t>
            </w:r>
          </w:p>
        </w:tc>
        <w:tc>
          <w:tcPr>
            <w:tcW w:w="2214" w:type="dxa"/>
          </w:tcPr>
          <w:p w:rsidR="00767BEB" w:rsidRPr="00D836A2" w:rsidRDefault="00767BEB" w:rsidP="006C5B2D">
            <w:pPr>
              <w:pStyle w:val="MDPI42tablebody"/>
              <w:autoSpaceDE w:val="0"/>
              <w:autoSpaceDN w:val="0"/>
              <w:spacing w:line="240" w:lineRule="auto"/>
              <w:rPr>
                <w:sz w:val="18"/>
                <w:szCs w:val="18"/>
                <w:lang w:val="en-US"/>
              </w:rPr>
            </w:pPr>
            <w:r w:rsidRPr="00D836A2">
              <w:rPr>
                <w:sz w:val="18"/>
                <w:szCs w:val="18"/>
                <w:lang w:val="en-US"/>
              </w:rPr>
              <w:t xml:space="preserve">1 mg </w:t>
            </w:r>
            <w:r w:rsidR="00FF17D2">
              <w:rPr>
                <w:sz w:val="18"/>
                <w:szCs w:val="18"/>
                <w:vertAlign w:val="superscript"/>
                <w:lang w:eastAsia="fr-FR"/>
              </w:rPr>
              <w:fldChar w:fldCharType="begin"/>
            </w:r>
            <w:r w:rsidR="006C5B2D">
              <w:rPr>
                <w:sz w:val="18"/>
                <w:szCs w:val="18"/>
                <w:vertAlign w:val="superscript"/>
                <w:lang w:val="en-US" w:eastAsia="fr-FR"/>
              </w:rPr>
              <w:instrText xml:space="preserve"> ADDIN REFMGR.CITE &lt;Refman&gt;&lt;Cite&gt;&lt;Author&gt;Martin&lt;/Author&gt;&lt;Year&gt;2001&lt;/Year&gt;&lt;RecNum&gt;1261&lt;/RecNum&gt;&lt;IDText&gt;Apports nutritionnels conseill&amp;#xE9;s pour la population fran&amp;#xE7;aise&lt;/IDText&gt;&lt;MDL Ref_Type="Book Chapter"&gt;&lt;Ref_Type&gt;Book Chapter&lt;/Ref_Type&gt;&lt;Ref_ID&gt;1261&lt;/Ref_ID&gt;&lt;Title_Primary&gt;Apports nutritionnels conseill&amp;#xE9;s pour la population fran&amp;#xE7;aise&lt;/Title_Primary&gt;&lt;Authors_Primary&gt;Martin,A.&lt;/Authors_Primary&gt;&lt;Date_Primary&gt;2001&lt;/Date_Primary&gt;&lt;Keywords&gt;population&lt;/Keywords&gt;&lt;Reprint&gt;Not in File&lt;/Reprint&gt;&lt;Volume&gt;3e&lt;/Volume&gt;&lt;Authors_Secondary&gt;Martin,A.&lt;/Authors_Secondary&gt;&lt;Issue&gt;605p&lt;/Issue&gt;&lt;Pub_Place&gt;Paris&lt;/Pub_Place&gt;&lt;Publisher&gt;Lavoisier&lt;/Publisher&gt;&lt;Title_Series&gt;Tec&amp;amp;Doc&lt;/Title_Series&gt;&lt;ZZ_WorkformID&gt;3&lt;/ZZ_WorkformID&gt;&lt;/MDL&gt;&lt;/Cite&gt;&lt;/Refman&gt;</w:instrText>
            </w:r>
            <w:r w:rsidR="00FF17D2">
              <w:rPr>
                <w:sz w:val="18"/>
                <w:szCs w:val="18"/>
                <w:vertAlign w:val="superscript"/>
                <w:lang w:eastAsia="fr-FR"/>
              </w:rPr>
              <w:fldChar w:fldCharType="separate"/>
            </w:r>
            <w:r w:rsidR="006C5B2D">
              <w:rPr>
                <w:sz w:val="18"/>
                <w:szCs w:val="18"/>
                <w:vertAlign w:val="superscript"/>
                <w:lang w:val="en-US" w:eastAsia="fr-FR"/>
              </w:rPr>
              <w:t>[24]</w:t>
            </w:r>
            <w:r w:rsidR="00FF17D2">
              <w:rPr>
                <w:sz w:val="18"/>
                <w:szCs w:val="18"/>
                <w:vertAlign w:val="superscript"/>
                <w:lang w:eastAsia="fr-FR"/>
              </w:rPr>
              <w:fldChar w:fldCharType="end"/>
            </w:r>
          </w:p>
        </w:tc>
        <w:tc>
          <w:tcPr>
            <w:tcW w:w="2464"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56.4</w:t>
            </w:r>
          </w:p>
        </w:tc>
        <w:tc>
          <w:tcPr>
            <w:tcW w:w="1206"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6.0</w:t>
            </w:r>
          </w:p>
        </w:tc>
      </w:tr>
      <w:tr w:rsidR="00767BEB" w:rsidRPr="00D836A2" w:rsidTr="005D10D8">
        <w:tc>
          <w:tcPr>
            <w:tcW w:w="2286" w:type="dxa"/>
            <w:noWrap/>
            <w:hideMark/>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 xml:space="preserve">Vitamin B9 </w:t>
            </w:r>
          </w:p>
        </w:tc>
        <w:tc>
          <w:tcPr>
            <w:tcW w:w="2214" w:type="dxa"/>
          </w:tcPr>
          <w:p w:rsidR="00767BEB" w:rsidRPr="00D836A2" w:rsidRDefault="00767BEB" w:rsidP="006C5B2D">
            <w:pPr>
              <w:pStyle w:val="MDPI42tablebody"/>
              <w:autoSpaceDE w:val="0"/>
              <w:autoSpaceDN w:val="0"/>
              <w:spacing w:line="240" w:lineRule="auto"/>
              <w:rPr>
                <w:sz w:val="18"/>
                <w:szCs w:val="18"/>
                <w:lang w:val="en-US"/>
              </w:rPr>
            </w:pPr>
            <w:r w:rsidRPr="00D836A2">
              <w:rPr>
                <w:sz w:val="18"/>
                <w:szCs w:val="18"/>
                <w:lang w:val="en-US"/>
              </w:rPr>
              <w:t xml:space="preserve">201µg </w:t>
            </w:r>
            <w:r w:rsidR="00FF17D2">
              <w:rPr>
                <w:sz w:val="18"/>
                <w:szCs w:val="18"/>
                <w:vertAlign w:val="superscript"/>
                <w:lang w:eastAsia="fr-FR"/>
              </w:rPr>
              <w:fldChar w:fldCharType="begin"/>
            </w:r>
            <w:r w:rsidR="006C5B2D">
              <w:rPr>
                <w:sz w:val="18"/>
                <w:szCs w:val="18"/>
                <w:vertAlign w:val="superscript"/>
                <w:lang w:val="en-US" w:eastAsia="fr-FR"/>
              </w:rPr>
              <w:instrText xml:space="preserve"> ADDIN REFMGR.CITE &lt;Refman&gt;&lt;Cite&gt;&lt;Author&gt;Martin&lt;/Author&gt;&lt;Year&gt;2001&lt;/Year&gt;&lt;RecNum&gt;1261&lt;/RecNum&gt;&lt;IDText&gt;Apports nutritionnels conseill&amp;#xE9;s pour la population fran&amp;#xE7;aise&lt;/IDText&gt;&lt;MDL Ref_Type="Book Chapter"&gt;&lt;Ref_Type&gt;Book Chapter&lt;/Ref_Type&gt;&lt;Ref_ID&gt;1261&lt;/Ref_ID&gt;&lt;Title_Primary&gt;Apports nutritionnels conseill&amp;#xE9;s pour la population fran&amp;#xE7;aise&lt;/Title_Primary&gt;&lt;Authors_Primary&gt;Martin,A.&lt;/Authors_Primary&gt;&lt;Date_Primary&gt;2001&lt;/Date_Primary&gt;&lt;Keywords&gt;population&lt;/Keywords&gt;&lt;Reprint&gt;Not in File&lt;/Reprint&gt;&lt;Volume&gt;3e&lt;/Volume&gt;&lt;Authors_Secondary&gt;Martin,A.&lt;/Authors_Secondary&gt;&lt;Issue&gt;605p&lt;/Issue&gt;&lt;Pub_Place&gt;Paris&lt;/Pub_Place&gt;&lt;Publisher&gt;Lavoisier&lt;/Publisher&gt;&lt;Title_Series&gt;Tec&amp;amp;Doc&lt;/Title_Series&gt;&lt;ZZ_WorkformID&gt;3&lt;/ZZ_WorkformID&gt;&lt;/MDL&gt;&lt;/Cite&gt;&lt;/Refman&gt;</w:instrText>
            </w:r>
            <w:r w:rsidR="00FF17D2">
              <w:rPr>
                <w:sz w:val="18"/>
                <w:szCs w:val="18"/>
                <w:vertAlign w:val="superscript"/>
                <w:lang w:eastAsia="fr-FR"/>
              </w:rPr>
              <w:fldChar w:fldCharType="separate"/>
            </w:r>
            <w:r w:rsidR="006C5B2D">
              <w:rPr>
                <w:sz w:val="18"/>
                <w:szCs w:val="18"/>
                <w:vertAlign w:val="superscript"/>
                <w:lang w:val="en-US" w:eastAsia="fr-FR"/>
              </w:rPr>
              <w:t>[24]</w:t>
            </w:r>
            <w:r w:rsidR="00FF17D2">
              <w:rPr>
                <w:sz w:val="18"/>
                <w:szCs w:val="18"/>
                <w:vertAlign w:val="superscript"/>
                <w:lang w:eastAsia="fr-FR"/>
              </w:rPr>
              <w:fldChar w:fldCharType="end"/>
            </w:r>
          </w:p>
        </w:tc>
        <w:tc>
          <w:tcPr>
            <w:tcW w:w="2464"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57.6</w:t>
            </w:r>
          </w:p>
        </w:tc>
        <w:tc>
          <w:tcPr>
            <w:tcW w:w="1206"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6.7</w:t>
            </w:r>
          </w:p>
        </w:tc>
      </w:tr>
      <w:tr w:rsidR="00767BEB" w:rsidRPr="00D836A2" w:rsidTr="005D10D8">
        <w:tc>
          <w:tcPr>
            <w:tcW w:w="2286" w:type="dxa"/>
            <w:noWrap/>
            <w:hideMark/>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 xml:space="preserve">Vitamin B12 </w:t>
            </w:r>
          </w:p>
        </w:tc>
        <w:tc>
          <w:tcPr>
            <w:tcW w:w="2214" w:type="dxa"/>
          </w:tcPr>
          <w:p w:rsidR="00767BEB" w:rsidRPr="00D836A2" w:rsidRDefault="00767BEB" w:rsidP="006C5B2D">
            <w:pPr>
              <w:pStyle w:val="MDPI42tablebody"/>
              <w:autoSpaceDE w:val="0"/>
              <w:autoSpaceDN w:val="0"/>
              <w:spacing w:line="240" w:lineRule="auto"/>
              <w:rPr>
                <w:sz w:val="18"/>
                <w:szCs w:val="18"/>
                <w:lang w:val="en-US"/>
              </w:rPr>
            </w:pPr>
            <w:r w:rsidRPr="00D836A2">
              <w:rPr>
                <w:sz w:val="18"/>
                <w:szCs w:val="18"/>
                <w:lang w:val="en-US"/>
              </w:rPr>
              <w:t xml:space="preserve">1.4 µg </w:t>
            </w:r>
            <w:r w:rsidR="00FF17D2">
              <w:rPr>
                <w:sz w:val="18"/>
                <w:szCs w:val="18"/>
                <w:vertAlign w:val="superscript"/>
                <w:lang w:eastAsia="fr-FR"/>
              </w:rPr>
              <w:fldChar w:fldCharType="begin"/>
            </w:r>
            <w:r w:rsidR="006C5B2D">
              <w:rPr>
                <w:sz w:val="18"/>
                <w:szCs w:val="18"/>
                <w:vertAlign w:val="superscript"/>
                <w:lang w:val="en-US" w:eastAsia="fr-FR"/>
              </w:rPr>
              <w:instrText xml:space="preserve"> ADDIN REFMGR.CITE &lt;Refman&gt;&lt;Cite&gt;&lt;Author&gt;Martin&lt;/Author&gt;&lt;Year&gt;2001&lt;/Year&gt;&lt;RecNum&gt;1261&lt;/RecNum&gt;&lt;IDText&gt;Apports nutritionnels conseill&amp;#xE9;s pour la population fran&amp;#xE7;aise&lt;/IDText&gt;&lt;MDL Ref_Type="Book Chapter"&gt;&lt;Ref_Type&gt;Book Chapter&lt;/Ref_Type&gt;&lt;Ref_ID&gt;1261&lt;/Ref_ID&gt;&lt;Title_Primary&gt;Apports nutritionnels conseill&amp;#xE9;s pour la population fran&amp;#xE7;aise&lt;/Title_Primary&gt;&lt;Authors_Primary&gt;Martin,A.&lt;/Authors_Primary&gt;&lt;Date_Primary&gt;2001&lt;/Date_Primary&gt;&lt;Keywords&gt;population&lt;/Keywords&gt;&lt;Reprint&gt;Not in File&lt;/Reprint&gt;&lt;Volume&gt;3e&lt;/Volume&gt;&lt;Authors_Secondary&gt;Martin,A.&lt;/Authors_Secondary&gt;&lt;Issue&gt;605p&lt;/Issue&gt;&lt;Pub_Place&gt;Paris&lt;/Pub_Place&gt;&lt;Publisher&gt;Lavoisier&lt;/Publisher&gt;&lt;Title_Series&gt;Tec&amp;amp;Doc&lt;/Title_Series&gt;&lt;ZZ_WorkformID&gt;3&lt;/ZZ_WorkformID&gt;&lt;/MDL&gt;&lt;/Cite&gt;&lt;/Refman&gt;</w:instrText>
            </w:r>
            <w:r w:rsidR="00FF17D2">
              <w:rPr>
                <w:sz w:val="18"/>
                <w:szCs w:val="18"/>
                <w:vertAlign w:val="superscript"/>
                <w:lang w:eastAsia="fr-FR"/>
              </w:rPr>
              <w:fldChar w:fldCharType="separate"/>
            </w:r>
            <w:r w:rsidR="006C5B2D">
              <w:rPr>
                <w:sz w:val="18"/>
                <w:szCs w:val="18"/>
                <w:vertAlign w:val="superscript"/>
                <w:lang w:val="en-US" w:eastAsia="fr-FR"/>
              </w:rPr>
              <w:t>[24]</w:t>
            </w:r>
            <w:r w:rsidR="00FF17D2">
              <w:rPr>
                <w:sz w:val="18"/>
                <w:szCs w:val="18"/>
                <w:vertAlign w:val="superscript"/>
                <w:lang w:eastAsia="fr-FR"/>
              </w:rPr>
              <w:fldChar w:fldCharType="end"/>
            </w:r>
          </w:p>
        </w:tc>
        <w:tc>
          <w:tcPr>
            <w:tcW w:w="2464"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103.4</w:t>
            </w:r>
          </w:p>
        </w:tc>
        <w:tc>
          <w:tcPr>
            <w:tcW w:w="1206"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15.4</w:t>
            </w:r>
          </w:p>
        </w:tc>
      </w:tr>
      <w:tr w:rsidR="00767BEB" w:rsidRPr="00D836A2" w:rsidTr="005D10D8">
        <w:tc>
          <w:tcPr>
            <w:tcW w:w="2286" w:type="dxa"/>
            <w:noWrap/>
            <w:hideMark/>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 xml:space="preserve">Vitamin C </w:t>
            </w:r>
          </w:p>
        </w:tc>
        <w:tc>
          <w:tcPr>
            <w:tcW w:w="2214" w:type="dxa"/>
          </w:tcPr>
          <w:p w:rsidR="00767BEB" w:rsidRPr="00D836A2" w:rsidRDefault="00767BEB" w:rsidP="006C5B2D">
            <w:pPr>
              <w:pStyle w:val="MDPI42tablebody"/>
              <w:autoSpaceDE w:val="0"/>
              <w:autoSpaceDN w:val="0"/>
              <w:spacing w:line="240" w:lineRule="auto"/>
              <w:rPr>
                <w:sz w:val="18"/>
                <w:szCs w:val="18"/>
                <w:lang w:val="en-US"/>
              </w:rPr>
            </w:pPr>
            <w:r w:rsidRPr="00D836A2">
              <w:rPr>
                <w:sz w:val="18"/>
                <w:szCs w:val="18"/>
                <w:lang w:val="en-US"/>
              </w:rPr>
              <w:t xml:space="preserve">89 mg </w:t>
            </w:r>
            <w:r w:rsidR="00FF17D2">
              <w:rPr>
                <w:sz w:val="18"/>
                <w:szCs w:val="18"/>
                <w:vertAlign w:val="superscript"/>
                <w:lang w:eastAsia="fr-FR"/>
              </w:rPr>
              <w:fldChar w:fldCharType="begin"/>
            </w:r>
            <w:r w:rsidR="006C5B2D">
              <w:rPr>
                <w:sz w:val="18"/>
                <w:szCs w:val="18"/>
                <w:vertAlign w:val="superscript"/>
                <w:lang w:val="en-US" w:eastAsia="fr-FR"/>
              </w:rPr>
              <w:instrText xml:space="preserve"> ADDIN REFMGR.CITE &lt;Refman&gt;&lt;Cite&gt;&lt;Author&gt;Martin&lt;/Author&gt;&lt;Year&gt;2001&lt;/Year&gt;&lt;RecNum&gt;1261&lt;/RecNum&gt;&lt;IDText&gt;Apports nutritionnels conseill&amp;#xE9;s pour la population fran&amp;#xE7;aise&lt;/IDText&gt;&lt;MDL Ref_Type="Book Chapter"&gt;&lt;Ref_Type&gt;Book Chapter&lt;/Ref_Type&gt;&lt;Ref_ID&gt;1261&lt;/Ref_ID&gt;&lt;Title_Primary&gt;Apports nutritionnels conseill&amp;#xE9;s pour la population fran&amp;#xE7;aise&lt;/Title_Primary&gt;&lt;Authors_Primary&gt;Martin,A.&lt;/Authors_Primary&gt;&lt;Date_Primary&gt;2001&lt;/Date_Primary&gt;&lt;Keywords&gt;population&lt;/Keywords&gt;&lt;Reprint&gt;Not in File&lt;/Reprint&gt;&lt;Volume&gt;3e&lt;/Volume&gt;&lt;Authors_Secondary&gt;Martin,A.&lt;/Authors_Secondary&gt;&lt;Issue&gt;605p&lt;/Issue&gt;&lt;Pub_Place&gt;Paris&lt;/Pub_Place&gt;&lt;Publisher&gt;Lavoisier&lt;/Publisher&gt;&lt;Title_Series&gt;Tec&amp;amp;Doc&lt;/Title_Series&gt;&lt;ZZ_WorkformID&gt;3&lt;/ZZ_WorkformID&gt;&lt;/MDL&gt;&lt;/Cite&gt;&lt;/Refman&gt;</w:instrText>
            </w:r>
            <w:r w:rsidR="00FF17D2">
              <w:rPr>
                <w:sz w:val="18"/>
                <w:szCs w:val="18"/>
                <w:vertAlign w:val="superscript"/>
                <w:lang w:eastAsia="fr-FR"/>
              </w:rPr>
              <w:fldChar w:fldCharType="separate"/>
            </w:r>
            <w:r w:rsidR="006C5B2D">
              <w:rPr>
                <w:sz w:val="18"/>
                <w:szCs w:val="18"/>
                <w:vertAlign w:val="superscript"/>
                <w:lang w:val="en-US" w:eastAsia="fr-FR"/>
              </w:rPr>
              <w:t>[24]</w:t>
            </w:r>
            <w:r w:rsidR="00FF17D2">
              <w:rPr>
                <w:sz w:val="18"/>
                <w:szCs w:val="18"/>
                <w:vertAlign w:val="superscript"/>
                <w:lang w:eastAsia="fr-FR"/>
              </w:rPr>
              <w:fldChar w:fldCharType="end"/>
            </w:r>
          </w:p>
        </w:tc>
        <w:tc>
          <w:tcPr>
            <w:tcW w:w="2464"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35.0</w:t>
            </w:r>
          </w:p>
        </w:tc>
        <w:tc>
          <w:tcPr>
            <w:tcW w:w="1206"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6.3</w:t>
            </w:r>
          </w:p>
        </w:tc>
      </w:tr>
      <w:tr w:rsidR="00767BEB" w:rsidRPr="00D836A2" w:rsidTr="005D10D8">
        <w:tc>
          <w:tcPr>
            <w:tcW w:w="2286" w:type="dxa"/>
            <w:noWrap/>
            <w:hideMark/>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 xml:space="preserve">Vitamin D </w:t>
            </w:r>
          </w:p>
        </w:tc>
        <w:tc>
          <w:tcPr>
            <w:tcW w:w="2214" w:type="dxa"/>
          </w:tcPr>
          <w:p w:rsidR="00767BEB" w:rsidRPr="00D836A2" w:rsidRDefault="00767BEB" w:rsidP="006C5B2D">
            <w:pPr>
              <w:pStyle w:val="MDPI42tablebody"/>
              <w:autoSpaceDE w:val="0"/>
              <w:autoSpaceDN w:val="0"/>
              <w:spacing w:line="240" w:lineRule="auto"/>
              <w:rPr>
                <w:sz w:val="18"/>
                <w:szCs w:val="18"/>
                <w:lang w:val="en-US"/>
              </w:rPr>
            </w:pPr>
            <w:r w:rsidRPr="00D836A2">
              <w:rPr>
                <w:sz w:val="18"/>
                <w:szCs w:val="18"/>
                <w:lang w:val="en-US"/>
              </w:rPr>
              <w:t xml:space="preserve">5 µg </w:t>
            </w:r>
            <w:r w:rsidR="00FF17D2">
              <w:rPr>
                <w:sz w:val="18"/>
                <w:szCs w:val="18"/>
                <w:vertAlign w:val="superscript"/>
                <w:lang w:eastAsia="fr-FR"/>
              </w:rPr>
              <w:fldChar w:fldCharType="begin"/>
            </w:r>
            <w:r w:rsidR="006C5B2D">
              <w:rPr>
                <w:sz w:val="18"/>
                <w:szCs w:val="18"/>
                <w:vertAlign w:val="superscript"/>
                <w:lang w:val="en-US" w:eastAsia="fr-FR"/>
              </w:rPr>
              <w:instrText xml:space="preserve"> ADDIN REFMGR.CITE &lt;Refman&gt;&lt;Cite&gt;&lt;Author&gt;Martin&lt;/Author&gt;&lt;Year&gt;2001&lt;/Year&gt;&lt;RecNum&gt;1261&lt;/RecNum&gt;&lt;IDText&gt;Apports nutritionnels conseill&amp;#xE9;s pour la population fran&amp;#xE7;aise&lt;/IDText&gt;&lt;MDL Ref_Type="Book Chapter"&gt;&lt;Ref_Type&gt;Book Chapter&lt;/Ref_Type&gt;&lt;Ref_ID&gt;1261&lt;/Ref_ID&gt;&lt;Title_Primary&gt;Apports nutritionnels conseill&amp;#xE9;s pour la population fran&amp;#xE7;aise&lt;/Title_Primary&gt;&lt;Authors_Primary&gt;Martin,A.&lt;/Authors_Primary&gt;&lt;Date_Primary&gt;2001&lt;/Date_Primary&gt;&lt;Keywords&gt;population&lt;/Keywords&gt;&lt;Reprint&gt;Not in File&lt;/Reprint&gt;&lt;Volume&gt;3e&lt;/Volume&gt;&lt;Authors_Secondary&gt;Martin,A.&lt;/Authors_Secondary&gt;&lt;Issue&gt;605p&lt;/Issue&gt;&lt;Pub_Place&gt;Paris&lt;/Pub_Place&gt;&lt;Publisher&gt;Lavoisier&lt;/Publisher&gt;&lt;Title_Series&gt;Tec&amp;amp;Doc&lt;/Title_Series&gt;&lt;ZZ_WorkformID&gt;3&lt;/ZZ_WorkformID&gt;&lt;/MDL&gt;&lt;/Cite&gt;&lt;/Refman&gt;</w:instrText>
            </w:r>
            <w:r w:rsidR="00FF17D2">
              <w:rPr>
                <w:sz w:val="18"/>
                <w:szCs w:val="18"/>
                <w:vertAlign w:val="superscript"/>
                <w:lang w:eastAsia="fr-FR"/>
              </w:rPr>
              <w:fldChar w:fldCharType="separate"/>
            </w:r>
            <w:r w:rsidR="006C5B2D">
              <w:rPr>
                <w:sz w:val="18"/>
                <w:szCs w:val="18"/>
                <w:vertAlign w:val="superscript"/>
                <w:lang w:val="en-US" w:eastAsia="fr-FR"/>
              </w:rPr>
              <w:t>[24]</w:t>
            </w:r>
            <w:r w:rsidR="00FF17D2">
              <w:rPr>
                <w:sz w:val="18"/>
                <w:szCs w:val="18"/>
                <w:vertAlign w:val="superscript"/>
                <w:lang w:eastAsia="fr-FR"/>
              </w:rPr>
              <w:fldChar w:fldCharType="end"/>
            </w:r>
          </w:p>
        </w:tc>
        <w:tc>
          <w:tcPr>
            <w:tcW w:w="2464"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17.3</w:t>
            </w:r>
          </w:p>
        </w:tc>
        <w:tc>
          <w:tcPr>
            <w:tcW w:w="1206"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4.1</w:t>
            </w:r>
          </w:p>
        </w:tc>
      </w:tr>
      <w:tr w:rsidR="00767BEB" w:rsidRPr="00D836A2" w:rsidTr="005D10D8">
        <w:tc>
          <w:tcPr>
            <w:tcW w:w="2286" w:type="dxa"/>
            <w:noWrap/>
            <w:hideMark/>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 xml:space="preserve">Vitamin E </w:t>
            </w:r>
          </w:p>
        </w:tc>
        <w:tc>
          <w:tcPr>
            <w:tcW w:w="2214" w:type="dxa"/>
          </w:tcPr>
          <w:p w:rsidR="00767BEB" w:rsidRPr="00D836A2" w:rsidRDefault="00767BEB" w:rsidP="006C5B2D">
            <w:pPr>
              <w:pStyle w:val="MDPI42tablebody"/>
              <w:autoSpaceDE w:val="0"/>
              <w:autoSpaceDN w:val="0"/>
              <w:spacing w:line="240" w:lineRule="auto"/>
              <w:rPr>
                <w:sz w:val="18"/>
                <w:szCs w:val="18"/>
                <w:lang w:val="en-US"/>
              </w:rPr>
            </w:pPr>
            <w:r w:rsidRPr="00D836A2">
              <w:rPr>
                <w:sz w:val="18"/>
                <w:szCs w:val="18"/>
                <w:lang w:val="en-US"/>
              </w:rPr>
              <w:t xml:space="preserve">9.1 mg </w:t>
            </w:r>
            <w:r w:rsidR="00FF17D2">
              <w:rPr>
                <w:sz w:val="18"/>
                <w:szCs w:val="18"/>
                <w:vertAlign w:val="superscript"/>
                <w:lang w:eastAsia="fr-FR"/>
              </w:rPr>
              <w:fldChar w:fldCharType="begin"/>
            </w:r>
            <w:r w:rsidR="006C5B2D">
              <w:rPr>
                <w:sz w:val="18"/>
                <w:szCs w:val="18"/>
                <w:vertAlign w:val="superscript"/>
                <w:lang w:val="en-US" w:eastAsia="fr-FR"/>
              </w:rPr>
              <w:instrText xml:space="preserve"> ADDIN REFMGR.CITE &lt;Refman&gt;&lt;Cite&gt;&lt;Author&gt;Martin&lt;/Author&gt;&lt;Year&gt;2001&lt;/Year&gt;&lt;RecNum&gt;1261&lt;/RecNum&gt;&lt;IDText&gt;Apports nutritionnels conseill&amp;#xE9;s pour la population fran&amp;#xE7;aise&lt;/IDText&gt;&lt;MDL Ref_Type="Book Chapter"&gt;&lt;Ref_Type&gt;Book Chapter&lt;/Ref_Type&gt;&lt;Ref_ID&gt;1261&lt;/Ref_ID&gt;&lt;Title_Primary&gt;Apports nutritionnels conseill&amp;#xE9;s pour la population fran&amp;#xE7;aise&lt;/Title_Primary&gt;&lt;Authors_Primary&gt;Martin,A.&lt;/Authors_Primary&gt;&lt;Date_Primary&gt;2001&lt;/Date_Primary&gt;&lt;Keywords&gt;population&lt;/Keywords&gt;&lt;Reprint&gt;Not in File&lt;/Reprint&gt;&lt;Volume&gt;3e&lt;/Volume&gt;&lt;Authors_Secondary&gt;Martin,A.&lt;/Authors_Secondary&gt;&lt;Issue&gt;605p&lt;/Issue&gt;&lt;Pub_Place&gt;Paris&lt;/Pub_Place&gt;&lt;Publisher&gt;Lavoisier&lt;/Publisher&gt;&lt;Title_Series&gt;Tec&amp;amp;Doc&lt;/Title_Series&gt;&lt;ZZ_WorkformID&gt;3&lt;/ZZ_WorkformID&gt;&lt;/MDL&gt;&lt;/Cite&gt;&lt;/Refman&gt;</w:instrText>
            </w:r>
            <w:r w:rsidR="00FF17D2">
              <w:rPr>
                <w:sz w:val="18"/>
                <w:szCs w:val="18"/>
                <w:vertAlign w:val="superscript"/>
                <w:lang w:eastAsia="fr-FR"/>
              </w:rPr>
              <w:fldChar w:fldCharType="separate"/>
            </w:r>
            <w:r w:rsidR="006C5B2D">
              <w:rPr>
                <w:sz w:val="18"/>
                <w:szCs w:val="18"/>
                <w:vertAlign w:val="superscript"/>
                <w:lang w:val="en-US" w:eastAsia="fr-FR"/>
              </w:rPr>
              <w:t>[24]</w:t>
            </w:r>
            <w:r w:rsidR="00FF17D2">
              <w:rPr>
                <w:sz w:val="18"/>
                <w:szCs w:val="18"/>
                <w:vertAlign w:val="superscript"/>
                <w:lang w:eastAsia="fr-FR"/>
              </w:rPr>
              <w:fldChar w:fldCharType="end"/>
            </w:r>
          </w:p>
        </w:tc>
        <w:tc>
          <w:tcPr>
            <w:tcW w:w="2464"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52.5</w:t>
            </w:r>
          </w:p>
        </w:tc>
        <w:tc>
          <w:tcPr>
            <w:tcW w:w="1206"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15.7</w:t>
            </w:r>
          </w:p>
        </w:tc>
      </w:tr>
      <w:tr w:rsidR="00767BEB" w:rsidRPr="00D836A2" w:rsidTr="005D10D8">
        <w:tc>
          <w:tcPr>
            <w:tcW w:w="2286" w:type="dxa"/>
            <w:noWrap/>
            <w:hideMark/>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 xml:space="preserve">Vitamin A </w:t>
            </w:r>
          </w:p>
        </w:tc>
        <w:tc>
          <w:tcPr>
            <w:tcW w:w="2214" w:type="dxa"/>
          </w:tcPr>
          <w:p w:rsidR="00767BEB" w:rsidRPr="00D836A2" w:rsidRDefault="00767BEB" w:rsidP="006C5B2D">
            <w:pPr>
              <w:pStyle w:val="MDPI42tablebody"/>
              <w:autoSpaceDE w:val="0"/>
              <w:autoSpaceDN w:val="0"/>
              <w:spacing w:line="240" w:lineRule="auto"/>
              <w:rPr>
                <w:sz w:val="18"/>
                <w:szCs w:val="18"/>
                <w:lang w:val="en-US"/>
              </w:rPr>
            </w:pPr>
            <w:r w:rsidRPr="00D836A2">
              <w:rPr>
                <w:sz w:val="18"/>
                <w:szCs w:val="18"/>
                <w:lang w:val="en-US"/>
              </w:rPr>
              <w:t xml:space="preserve">501 µg </w:t>
            </w:r>
            <w:r w:rsidR="00FF17D2">
              <w:rPr>
                <w:sz w:val="18"/>
                <w:szCs w:val="18"/>
                <w:vertAlign w:val="superscript"/>
                <w:lang w:eastAsia="fr-FR"/>
              </w:rPr>
              <w:fldChar w:fldCharType="begin"/>
            </w:r>
            <w:r w:rsidR="006C5B2D">
              <w:rPr>
                <w:sz w:val="18"/>
                <w:szCs w:val="18"/>
                <w:vertAlign w:val="superscript"/>
                <w:lang w:val="en-US" w:eastAsia="fr-FR"/>
              </w:rPr>
              <w:instrText xml:space="preserve"> ADDIN REFMGR.CITE &lt;Refman&gt;&lt;Cite&gt;&lt;Author&gt;Martin&lt;/Author&gt;&lt;Year&gt;2001&lt;/Year&gt;&lt;RecNum&gt;1261&lt;/RecNum&gt;&lt;IDText&gt;Apports nutritionnels conseill&amp;#xE9;s pour la population fran&amp;#xE7;aise&lt;/IDText&gt;&lt;MDL Ref_Type="Book Chapter"&gt;&lt;Ref_Type&gt;Book Chapter&lt;/Ref_Type&gt;&lt;Ref_ID&gt;1261&lt;/Ref_ID&gt;&lt;Title_Primary&gt;Apports nutritionnels conseill&amp;#xE9;s pour la population fran&amp;#xE7;aise&lt;/Title_Primary&gt;&lt;Authors_Primary&gt;Martin,A.&lt;/Authors_Primary&gt;&lt;Date_Primary&gt;2001&lt;/Date_Primary&gt;&lt;Keywords&gt;population&lt;/Keywords&gt;&lt;Reprint&gt;Not in File&lt;/Reprint&gt;&lt;Volume&gt;3e&lt;/Volume&gt;&lt;Authors_Secondary&gt;Martin,A.&lt;/Authors_Secondary&gt;&lt;Issue&gt;605p&lt;/Issue&gt;&lt;Pub_Place&gt;Paris&lt;/Pub_Place&gt;&lt;Publisher&gt;Lavoisier&lt;/Publisher&gt;&lt;Title_Series&gt;Tec&amp;amp;Doc&lt;/Title_Series&gt;&lt;ZZ_WorkformID&gt;3&lt;/ZZ_WorkformID&gt;&lt;/MDL&gt;&lt;/Cite&gt;&lt;/Refman&gt;</w:instrText>
            </w:r>
            <w:r w:rsidR="00FF17D2">
              <w:rPr>
                <w:sz w:val="18"/>
                <w:szCs w:val="18"/>
                <w:vertAlign w:val="superscript"/>
                <w:lang w:eastAsia="fr-FR"/>
              </w:rPr>
              <w:fldChar w:fldCharType="separate"/>
            </w:r>
            <w:r w:rsidR="006C5B2D">
              <w:rPr>
                <w:sz w:val="18"/>
                <w:szCs w:val="18"/>
                <w:vertAlign w:val="superscript"/>
                <w:lang w:val="en-US" w:eastAsia="fr-FR"/>
              </w:rPr>
              <w:t>[24]</w:t>
            </w:r>
            <w:r w:rsidR="00FF17D2">
              <w:rPr>
                <w:sz w:val="18"/>
                <w:szCs w:val="18"/>
                <w:vertAlign w:val="superscript"/>
                <w:lang w:eastAsia="fr-FR"/>
              </w:rPr>
              <w:fldChar w:fldCharType="end"/>
            </w:r>
          </w:p>
        </w:tc>
        <w:tc>
          <w:tcPr>
            <w:tcW w:w="2464"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81.0</w:t>
            </w:r>
          </w:p>
        </w:tc>
        <w:tc>
          <w:tcPr>
            <w:tcW w:w="1206"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14.2</w:t>
            </w:r>
          </w:p>
        </w:tc>
      </w:tr>
      <w:tr w:rsidR="00767BEB" w:rsidRPr="00D836A2" w:rsidTr="005D10D8">
        <w:tc>
          <w:tcPr>
            <w:tcW w:w="2286" w:type="dxa"/>
            <w:noWrap/>
            <w:hideMark/>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 xml:space="preserve">Calcium </w:t>
            </w:r>
          </w:p>
        </w:tc>
        <w:tc>
          <w:tcPr>
            <w:tcW w:w="2214" w:type="dxa"/>
          </w:tcPr>
          <w:p w:rsidR="00767BEB" w:rsidRPr="00D836A2" w:rsidRDefault="00767BEB" w:rsidP="006C5B2D">
            <w:pPr>
              <w:pStyle w:val="MDPI42tablebody"/>
              <w:autoSpaceDE w:val="0"/>
              <w:autoSpaceDN w:val="0"/>
              <w:spacing w:line="240" w:lineRule="auto"/>
              <w:rPr>
                <w:sz w:val="18"/>
                <w:szCs w:val="18"/>
                <w:lang w:val="en-US"/>
              </w:rPr>
            </w:pPr>
            <w:r w:rsidRPr="00D836A2">
              <w:rPr>
                <w:sz w:val="18"/>
                <w:szCs w:val="18"/>
                <w:lang w:val="en-US"/>
              </w:rPr>
              <w:t xml:space="preserve">924 mg </w:t>
            </w:r>
            <w:r w:rsidR="00FF17D2">
              <w:rPr>
                <w:sz w:val="18"/>
                <w:szCs w:val="18"/>
                <w:vertAlign w:val="superscript"/>
                <w:lang w:eastAsia="fr-FR"/>
              </w:rPr>
              <w:fldChar w:fldCharType="begin"/>
            </w:r>
            <w:r w:rsidR="006C5B2D">
              <w:rPr>
                <w:sz w:val="18"/>
                <w:szCs w:val="18"/>
                <w:vertAlign w:val="superscript"/>
                <w:lang w:val="en-US" w:eastAsia="fr-FR"/>
              </w:rPr>
              <w:instrText xml:space="preserve"> ADDIN REFMGR.CITE &lt;Refman&gt;&lt;Cite&gt;&lt;Author&gt;Martin&lt;/Author&gt;&lt;Year&gt;2001&lt;/Year&gt;&lt;RecNum&gt;1261&lt;/RecNum&gt;&lt;IDText&gt;Apports nutritionnels conseill&amp;#xE9;s pour la population fran&amp;#xE7;aise&lt;/IDText&gt;&lt;MDL Ref_Type="Book Chapter"&gt;&lt;Ref_Type&gt;Book Chapter&lt;/Ref_Type&gt;&lt;Ref_ID&gt;1261&lt;/Ref_ID&gt;&lt;Title_Primary&gt;Apports nutritionnels conseill&amp;#xE9;s pour la population fran&amp;#xE7;aise&lt;/Title_Primary&gt;&lt;Authors_Primary&gt;Martin,A.&lt;/Authors_Primary&gt;&lt;Date_Primary&gt;2001&lt;/Date_Primary&gt;&lt;Keywords&gt;population&lt;/Keywords&gt;&lt;Reprint&gt;Not in File&lt;/Reprint&gt;&lt;Volume&gt;3e&lt;/Volume&gt;&lt;Authors_Secondary&gt;Martin,A.&lt;/Authors_Secondary&gt;&lt;Issue&gt;605p&lt;/Issue&gt;&lt;Pub_Place&gt;Paris&lt;/Pub_Place&gt;&lt;Publisher&gt;Lavoisier&lt;/Publisher&gt;&lt;Title_Series&gt;Tec&amp;amp;Doc&lt;/Title_Series&gt;&lt;ZZ_WorkformID&gt;3&lt;/ZZ_WorkformID&gt;&lt;/MDL&gt;&lt;/Cite&gt;&lt;/Refman&gt;</w:instrText>
            </w:r>
            <w:r w:rsidR="00FF17D2">
              <w:rPr>
                <w:sz w:val="18"/>
                <w:szCs w:val="18"/>
                <w:vertAlign w:val="superscript"/>
                <w:lang w:eastAsia="fr-FR"/>
              </w:rPr>
              <w:fldChar w:fldCharType="separate"/>
            </w:r>
            <w:r w:rsidR="006C5B2D">
              <w:rPr>
                <w:sz w:val="18"/>
                <w:szCs w:val="18"/>
                <w:vertAlign w:val="superscript"/>
                <w:lang w:val="en-US" w:eastAsia="fr-FR"/>
              </w:rPr>
              <w:t>[24]</w:t>
            </w:r>
            <w:r w:rsidR="00FF17D2">
              <w:rPr>
                <w:sz w:val="18"/>
                <w:szCs w:val="18"/>
                <w:vertAlign w:val="superscript"/>
                <w:lang w:eastAsia="fr-FR"/>
              </w:rPr>
              <w:fldChar w:fldCharType="end"/>
            </w:r>
          </w:p>
        </w:tc>
        <w:tc>
          <w:tcPr>
            <w:tcW w:w="2464"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34.2</w:t>
            </w:r>
          </w:p>
        </w:tc>
        <w:tc>
          <w:tcPr>
            <w:tcW w:w="1206"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4.1</w:t>
            </w:r>
          </w:p>
        </w:tc>
      </w:tr>
      <w:tr w:rsidR="00767BEB" w:rsidRPr="00D836A2" w:rsidTr="005D10D8">
        <w:tc>
          <w:tcPr>
            <w:tcW w:w="2286" w:type="dxa"/>
            <w:noWrap/>
            <w:hideMark/>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 xml:space="preserve">Potassium </w:t>
            </w:r>
          </w:p>
        </w:tc>
        <w:tc>
          <w:tcPr>
            <w:tcW w:w="2214" w:type="dxa"/>
          </w:tcPr>
          <w:p w:rsidR="00767BEB" w:rsidRPr="000E3BDE" w:rsidRDefault="00767BEB" w:rsidP="006C5B2D">
            <w:pPr>
              <w:pStyle w:val="MDPI42tablebody"/>
              <w:autoSpaceDE w:val="0"/>
              <w:autoSpaceDN w:val="0"/>
              <w:spacing w:line="240" w:lineRule="auto"/>
              <w:rPr>
                <w:sz w:val="18"/>
                <w:szCs w:val="18"/>
                <w:lang w:val="fr-FR"/>
              </w:rPr>
            </w:pPr>
            <w:r w:rsidRPr="000E3BDE">
              <w:rPr>
                <w:sz w:val="18"/>
                <w:szCs w:val="18"/>
                <w:lang w:val="fr-FR"/>
              </w:rPr>
              <w:t xml:space="preserve">2892 mg </w:t>
            </w:r>
            <w:r w:rsidR="00FF17D2">
              <w:rPr>
                <w:sz w:val="18"/>
                <w:szCs w:val="18"/>
                <w:vertAlign w:val="superscript"/>
                <w:lang w:val="fr-FR" w:eastAsia="fr-FR"/>
              </w:rPr>
              <w:fldChar w:fldCharType="begin"/>
            </w:r>
            <w:r w:rsidR="006C5B2D">
              <w:rPr>
                <w:sz w:val="18"/>
                <w:szCs w:val="18"/>
                <w:vertAlign w:val="superscript"/>
                <w:lang w:val="fr-FR" w:eastAsia="fr-FR"/>
              </w:rPr>
              <w:instrText xml:space="preserve"> ADDIN REFMGR.CITE &lt;Refman&gt;&lt;Cite&gt;&lt;Author&gt;Agence nationale de s&amp;#xE9;curit&amp;#xE9; sanitaire de l&amp;apos;alimentation&lt;/Author&gt;&lt;Year&gt;2015&lt;/Year&gt;&lt;RecNum&gt;5118&lt;/RecNum&gt;&lt;IDText&gt;Evaluation des apports en vitamines et min&amp;#xE9;raux issus de l&amp;apos;alimentation non enrichie, de l&amp;apos;alimentation enrichie et des compl&amp;#xE9;ments alimentaires dans la population fran&amp;#xE7;aise: estimation des apports usuels, des pr&amp;#xE9;valences d&amp;apos;inad&amp;#xE9;quation et des risques&lt;/IDText&gt;&lt;MDL Ref_Type="Journal"&gt;&lt;Ref_Type&gt;Journal&lt;/Ref_Type&gt;&lt;Ref_ID&gt;5118&lt;/Ref_ID&gt;&lt;Title_Primary&gt;Evaluation des apports en vitamines et min&amp;#xE9;raux issus de l&amp;apos;alimentation non enrichie, de l&amp;apos;alimentation enrichie et des compl&amp;#xE9;ments alimentaires dans la population fran&amp;#xE7;aise: estimation des apports usuels, des pr&amp;#xE9;valences d&amp;apos;inad&amp;#xE9;quation et des risques&lt;/Title_Primary&gt;&lt;Authors_Primary&gt;Agence nationale de s&amp;#xE9;curit&amp;#xE9; sanitaire de l&amp;apos;alimentation,de l&amp;apos;environnement et du travail (ANSES)&lt;/Authors_Primary&gt;&lt;Date_Primary&gt;2015&lt;/Date_Primary&gt;&lt;Keywords&gt;De&lt;/Keywords&gt;&lt;Keywords&gt;en&lt;/Keywords&gt;&lt;Keywords&gt;Et&lt;/Keywords&gt;&lt;Keywords&gt;population&lt;/Keywords&gt;&lt;Reprint&gt;Not in File&lt;/Reprint&gt;&lt;Periodical&gt;Avis de l&amp;apos;Anses&lt;/Periodical&gt;&lt;Volume&gt;Saisine n&amp;#xB0;2012-SA-0142&lt;/Volume&gt;&lt;ZZ_JournalFull&gt;&lt;f name="System"&gt;Avis de l&amp;apos;Anses&lt;/f&gt;&lt;/ZZ_JournalFull&gt;&lt;ZZ_WorkformID&gt;1&lt;/ZZ_WorkformID&gt;&lt;/MDL&gt;&lt;/Cite&gt;&lt;/Refman&gt;</w:instrText>
            </w:r>
            <w:r w:rsidR="00FF17D2">
              <w:rPr>
                <w:sz w:val="18"/>
                <w:szCs w:val="18"/>
                <w:vertAlign w:val="superscript"/>
                <w:lang w:val="fr-FR" w:eastAsia="fr-FR"/>
              </w:rPr>
              <w:fldChar w:fldCharType="separate"/>
            </w:r>
            <w:r w:rsidR="006C5B2D">
              <w:rPr>
                <w:sz w:val="18"/>
                <w:szCs w:val="18"/>
                <w:vertAlign w:val="superscript"/>
                <w:lang w:val="fr-FR" w:eastAsia="fr-FR"/>
              </w:rPr>
              <w:t>[31]</w:t>
            </w:r>
            <w:r w:rsidR="00FF17D2">
              <w:rPr>
                <w:sz w:val="18"/>
                <w:szCs w:val="18"/>
                <w:vertAlign w:val="superscript"/>
                <w:lang w:val="fr-FR" w:eastAsia="fr-FR"/>
              </w:rPr>
              <w:fldChar w:fldCharType="end"/>
            </w:r>
          </w:p>
        </w:tc>
        <w:tc>
          <w:tcPr>
            <w:tcW w:w="2464"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33.6</w:t>
            </w:r>
          </w:p>
        </w:tc>
        <w:tc>
          <w:tcPr>
            <w:tcW w:w="1206"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3.8</w:t>
            </w:r>
          </w:p>
        </w:tc>
      </w:tr>
      <w:tr w:rsidR="00767BEB" w:rsidRPr="00D836A2" w:rsidTr="005D10D8">
        <w:tc>
          <w:tcPr>
            <w:tcW w:w="2286" w:type="dxa"/>
            <w:noWrap/>
            <w:hideMark/>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 xml:space="preserve">Iron </w:t>
            </w:r>
          </w:p>
        </w:tc>
        <w:tc>
          <w:tcPr>
            <w:tcW w:w="2214" w:type="dxa"/>
          </w:tcPr>
          <w:p w:rsidR="00767BEB" w:rsidRPr="00D836A2" w:rsidRDefault="00767BEB" w:rsidP="006C5B2D">
            <w:pPr>
              <w:pStyle w:val="MDPI42tablebody"/>
              <w:autoSpaceDE w:val="0"/>
              <w:autoSpaceDN w:val="0"/>
              <w:spacing w:line="240" w:lineRule="auto"/>
              <w:rPr>
                <w:sz w:val="18"/>
                <w:szCs w:val="18"/>
                <w:lang w:val="en-US"/>
              </w:rPr>
            </w:pPr>
            <w:r w:rsidRPr="00D836A2">
              <w:rPr>
                <w:sz w:val="18"/>
                <w:szCs w:val="18"/>
                <w:lang w:val="en-US"/>
              </w:rPr>
              <w:t xml:space="preserve">8.2 mg </w:t>
            </w:r>
            <w:r w:rsidR="00FF17D2">
              <w:rPr>
                <w:sz w:val="18"/>
                <w:szCs w:val="18"/>
                <w:vertAlign w:val="superscript"/>
                <w:lang w:eastAsia="fr-FR"/>
              </w:rPr>
              <w:fldChar w:fldCharType="begin"/>
            </w:r>
            <w:r w:rsidR="006C5B2D">
              <w:rPr>
                <w:sz w:val="18"/>
                <w:szCs w:val="18"/>
                <w:vertAlign w:val="superscript"/>
                <w:lang w:val="en-US" w:eastAsia="fr-FR"/>
              </w:rPr>
              <w:instrText xml:space="preserve"> ADDIN REFMGR.CITE &lt;Refman&gt;&lt;Cite&gt;&lt;Author&gt;Martin&lt;/Author&gt;&lt;Year&gt;2001&lt;/Year&gt;&lt;RecNum&gt;1261&lt;/RecNum&gt;&lt;IDText&gt;Apports nutritionnels conseill&amp;#xE9;s pour la population fran&amp;#xE7;aise&lt;/IDText&gt;&lt;MDL Ref_Type="Book Chapter"&gt;&lt;Ref_Type&gt;Book Chapter&lt;/Ref_Type&gt;&lt;Ref_ID&gt;1261&lt;/Ref_ID&gt;&lt;Title_Primary&gt;Apports nutritionnels conseill&amp;#xE9;s pour la population fran&amp;#xE7;aise&lt;/Title_Primary&gt;&lt;Authors_Primary&gt;Martin,A.&lt;/Authors_Primary&gt;&lt;Date_Primary&gt;2001&lt;/Date_Primary&gt;&lt;Keywords&gt;population&lt;/Keywords&gt;&lt;Reprint&gt;Not in File&lt;/Reprint&gt;&lt;Volume&gt;3e&lt;/Volume&gt;&lt;Authors_Secondary&gt;Martin,A.&lt;/Authors_Secondary&gt;&lt;Issue&gt;605p&lt;/Issue&gt;&lt;Pub_Place&gt;Paris&lt;/Pub_Place&gt;&lt;Publisher&gt;Lavoisier&lt;/Publisher&gt;&lt;Title_Series&gt;Tec&amp;amp;Doc&lt;/Title_Series&gt;&lt;ZZ_WorkformID&gt;3&lt;/ZZ_WorkformID&gt;&lt;/MDL&gt;&lt;/Cite&gt;&lt;/Refman&gt;</w:instrText>
            </w:r>
            <w:r w:rsidR="00FF17D2">
              <w:rPr>
                <w:sz w:val="18"/>
                <w:szCs w:val="18"/>
                <w:vertAlign w:val="superscript"/>
                <w:lang w:eastAsia="fr-FR"/>
              </w:rPr>
              <w:fldChar w:fldCharType="separate"/>
            </w:r>
            <w:r w:rsidR="006C5B2D">
              <w:rPr>
                <w:sz w:val="18"/>
                <w:szCs w:val="18"/>
                <w:vertAlign w:val="superscript"/>
                <w:lang w:val="en-US" w:eastAsia="fr-FR"/>
              </w:rPr>
              <w:t>[24]</w:t>
            </w:r>
            <w:r w:rsidR="00FF17D2">
              <w:rPr>
                <w:sz w:val="18"/>
                <w:szCs w:val="18"/>
                <w:vertAlign w:val="superscript"/>
                <w:lang w:eastAsia="fr-FR"/>
              </w:rPr>
              <w:fldChar w:fldCharType="end"/>
            </w:r>
          </w:p>
        </w:tc>
        <w:tc>
          <w:tcPr>
            <w:tcW w:w="2464"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44.0</w:t>
            </w:r>
          </w:p>
        </w:tc>
        <w:tc>
          <w:tcPr>
            <w:tcW w:w="1206"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4.3</w:t>
            </w:r>
          </w:p>
        </w:tc>
      </w:tr>
      <w:tr w:rsidR="00767BEB" w:rsidRPr="00D836A2" w:rsidTr="005D10D8">
        <w:tc>
          <w:tcPr>
            <w:tcW w:w="2286" w:type="dxa"/>
            <w:noWrap/>
            <w:hideMark/>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 xml:space="preserve">Magnesium </w:t>
            </w:r>
          </w:p>
        </w:tc>
        <w:tc>
          <w:tcPr>
            <w:tcW w:w="2214" w:type="dxa"/>
          </w:tcPr>
          <w:p w:rsidR="00767BEB" w:rsidRPr="00D836A2" w:rsidRDefault="00767BEB" w:rsidP="006C5B2D">
            <w:pPr>
              <w:pStyle w:val="MDPI42tablebody"/>
              <w:autoSpaceDE w:val="0"/>
              <w:autoSpaceDN w:val="0"/>
              <w:spacing w:line="240" w:lineRule="auto"/>
              <w:rPr>
                <w:sz w:val="18"/>
                <w:szCs w:val="18"/>
                <w:lang w:val="en-US"/>
              </w:rPr>
            </w:pPr>
            <w:r w:rsidRPr="00D836A2">
              <w:rPr>
                <w:sz w:val="18"/>
                <w:szCs w:val="18"/>
                <w:lang w:val="en-US"/>
              </w:rPr>
              <w:t xml:space="preserve">203 mg </w:t>
            </w:r>
            <w:r w:rsidR="00FF17D2">
              <w:rPr>
                <w:sz w:val="18"/>
                <w:szCs w:val="18"/>
                <w:vertAlign w:val="superscript"/>
                <w:lang w:eastAsia="fr-FR"/>
              </w:rPr>
              <w:fldChar w:fldCharType="begin"/>
            </w:r>
            <w:r w:rsidR="006C5B2D">
              <w:rPr>
                <w:sz w:val="18"/>
                <w:szCs w:val="18"/>
                <w:vertAlign w:val="superscript"/>
                <w:lang w:val="en-US" w:eastAsia="fr-FR"/>
              </w:rPr>
              <w:instrText xml:space="preserve"> ADDIN REFMGR.CITE &lt;Refman&gt;&lt;Cite&gt;&lt;Author&gt;Martin&lt;/Author&gt;&lt;Year&gt;2001&lt;/Year&gt;&lt;RecNum&gt;1261&lt;/RecNum&gt;&lt;IDText&gt;Apports nutritionnels conseill&amp;#xE9;s pour la population fran&amp;#xE7;aise&lt;/IDText&gt;&lt;MDL Ref_Type="Book Chapter"&gt;&lt;Ref_Type&gt;Book Chapter&lt;/Ref_Type&gt;&lt;Ref_ID&gt;1261&lt;/Ref_ID&gt;&lt;Title_Primary&gt;Apports nutritionnels conseill&amp;#xE9;s pour la population fran&amp;#xE7;aise&lt;/Title_Primary&gt;&lt;Authors_Primary&gt;Martin,A.&lt;/Authors_Primary&gt;&lt;Date_Primary&gt;2001&lt;/Date_Primary&gt;&lt;Keywords&gt;population&lt;/Keywords&gt;&lt;Reprint&gt;Not in File&lt;/Reprint&gt;&lt;Volume&gt;3e&lt;/Volume&gt;&lt;Authors_Secondary&gt;Martin,A.&lt;/Authors_Secondary&gt;&lt;Issue&gt;605p&lt;/Issue&gt;&lt;Pub_Place&gt;Paris&lt;/Pub_Place&gt;&lt;Publisher&gt;Lavoisier&lt;/Publisher&gt;&lt;Title_Series&gt;Tec&amp;amp;Doc&lt;/Title_Series&gt;&lt;ZZ_WorkformID&gt;3&lt;/ZZ_WorkformID&gt;&lt;/MDL&gt;&lt;/Cite&gt;&lt;/Refman&gt;</w:instrText>
            </w:r>
            <w:r w:rsidR="00FF17D2">
              <w:rPr>
                <w:sz w:val="18"/>
                <w:szCs w:val="18"/>
                <w:vertAlign w:val="superscript"/>
                <w:lang w:eastAsia="fr-FR"/>
              </w:rPr>
              <w:fldChar w:fldCharType="separate"/>
            </w:r>
            <w:r w:rsidR="006C5B2D">
              <w:rPr>
                <w:sz w:val="18"/>
                <w:szCs w:val="18"/>
                <w:vertAlign w:val="superscript"/>
                <w:lang w:val="en-US" w:eastAsia="fr-FR"/>
              </w:rPr>
              <w:t>[24]</w:t>
            </w:r>
            <w:r w:rsidR="00FF17D2">
              <w:rPr>
                <w:sz w:val="18"/>
                <w:szCs w:val="18"/>
                <w:vertAlign w:val="superscript"/>
                <w:lang w:eastAsia="fr-FR"/>
              </w:rPr>
              <w:fldChar w:fldCharType="end"/>
            </w:r>
          </w:p>
        </w:tc>
        <w:tc>
          <w:tcPr>
            <w:tcW w:w="2464"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45.6</w:t>
            </w:r>
          </w:p>
        </w:tc>
        <w:tc>
          <w:tcPr>
            <w:tcW w:w="1206"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3.8</w:t>
            </w:r>
          </w:p>
        </w:tc>
      </w:tr>
      <w:tr w:rsidR="00767BEB" w:rsidRPr="00D836A2" w:rsidTr="005D10D8">
        <w:tc>
          <w:tcPr>
            <w:tcW w:w="2286" w:type="dxa"/>
            <w:noWrap/>
            <w:hideMark/>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 xml:space="preserve">Zinc </w:t>
            </w:r>
          </w:p>
        </w:tc>
        <w:tc>
          <w:tcPr>
            <w:tcW w:w="2214" w:type="dxa"/>
          </w:tcPr>
          <w:p w:rsidR="00767BEB" w:rsidRPr="00D836A2" w:rsidRDefault="00767BEB" w:rsidP="006C5B2D">
            <w:pPr>
              <w:pStyle w:val="MDPI42tablebody"/>
              <w:autoSpaceDE w:val="0"/>
              <w:autoSpaceDN w:val="0"/>
              <w:spacing w:line="240" w:lineRule="auto"/>
              <w:rPr>
                <w:sz w:val="18"/>
                <w:szCs w:val="18"/>
                <w:lang w:val="en-US"/>
              </w:rPr>
            </w:pPr>
            <w:r w:rsidRPr="00D836A2">
              <w:rPr>
                <w:sz w:val="18"/>
                <w:szCs w:val="18"/>
                <w:lang w:val="en-US"/>
              </w:rPr>
              <w:t xml:space="preserve">9.2 mg </w:t>
            </w:r>
            <w:r w:rsidR="00FF17D2">
              <w:rPr>
                <w:sz w:val="18"/>
                <w:szCs w:val="18"/>
                <w:vertAlign w:val="superscript"/>
                <w:lang w:eastAsia="fr-FR"/>
              </w:rPr>
              <w:fldChar w:fldCharType="begin"/>
            </w:r>
            <w:r w:rsidR="006C5B2D">
              <w:rPr>
                <w:sz w:val="18"/>
                <w:szCs w:val="18"/>
                <w:vertAlign w:val="superscript"/>
                <w:lang w:val="en-US" w:eastAsia="fr-FR"/>
              </w:rPr>
              <w:instrText xml:space="preserve"> ADDIN REFMGR.CITE &lt;Refman&gt;&lt;Cite&gt;&lt;Author&gt;Martin&lt;/Author&gt;&lt;Year&gt;2001&lt;/Year&gt;&lt;RecNum&gt;1261&lt;/RecNum&gt;&lt;IDText&gt;Apports nutritionnels conseill&amp;#xE9;s pour la population fran&amp;#xE7;aise&lt;/IDText&gt;&lt;MDL Ref_Type="Book Chapter"&gt;&lt;Ref_Type&gt;Book Chapter&lt;/Ref_Type&gt;&lt;Ref_ID&gt;1261&lt;/Ref_ID&gt;&lt;Title_Primary&gt;Apports nutritionnels conseill&amp;#xE9;s pour la population fran&amp;#xE7;aise&lt;/Title_Primary&gt;&lt;Authors_Primary&gt;Martin,A.&lt;/Authors_Primary&gt;&lt;Date_Primary&gt;2001&lt;/Date_Primary&gt;&lt;Keywords&gt;population&lt;/Keywords&gt;&lt;Reprint&gt;Not in File&lt;/Reprint&gt;&lt;Volume&gt;3e&lt;/Volume&gt;&lt;Authors_Secondary&gt;Martin,A.&lt;/Authors_Secondary&gt;&lt;Issue&gt;605p&lt;/Issue&gt;&lt;Pub_Place&gt;Paris&lt;/Pub_Place&gt;&lt;Publisher&gt;Lavoisier&lt;/Publisher&gt;&lt;Title_Series&gt;Tec&amp;amp;Doc&lt;/Title_Series&gt;&lt;ZZ_WorkformID&gt;3&lt;/ZZ_WorkformID&gt;&lt;/MDL&gt;&lt;/Cite&gt;&lt;/Refman&gt;</w:instrText>
            </w:r>
            <w:r w:rsidR="00FF17D2">
              <w:rPr>
                <w:sz w:val="18"/>
                <w:szCs w:val="18"/>
                <w:vertAlign w:val="superscript"/>
                <w:lang w:eastAsia="fr-FR"/>
              </w:rPr>
              <w:fldChar w:fldCharType="separate"/>
            </w:r>
            <w:r w:rsidR="006C5B2D">
              <w:rPr>
                <w:sz w:val="18"/>
                <w:szCs w:val="18"/>
                <w:vertAlign w:val="superscript"/>
                <w:lang w:val="en-US" w:eastAsia="fr-FR"/>
              </w:rPr>
              <w:t>[24]</w:t>
            </w:r>
            <w:r w:rsidR="00FF17D2">
              <w:rPr>
                <w:sz w:val="18"/>
                <w:szCs w:val="18"/>
                <w:vertAlign w:val="superscript"/>
                <w:lang w:eastAsia="fr-FR"/>
              </w:rPr>
              <w:fldChar w:fldCharType="end"/>
            </w:r>
          </w:p>
        </w:tc>
        <w:tc>
          <w:tcPr>
            <w:tcW w:w="2464"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39.5</w:t>
            </w:r>
          </w:p>
        </w:tc>
        <w:tc>
          <w:tcPr>
            <w:tcW w:w="1206"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4.1</w:t>
            </w:r>
          </w:p>
        </w:tc>
      </w:tr>
      <w:tr w:rsidR="00767BEB" w:rsidRPr="00D836A2" w:rsidTr="005D10D8">
        <w:tc>
          <w:tcPr>
            <w:tcW w:w="2286" w:type="dxa"/>
            <w:noWrap/>
            <w:hideMark/>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 xml:space="preserve">Copper </w:t>
            </w:r>
          </w:p>
        </w:tc>
        <w:tc>
          <w:tcPr>
            <w:tcW w:w="2214" w:type="dxa"/>
          </w:tcPr>
          <w:p w:rsidR="00767BEB" w:rsidRPr="00D836A2" w:rsidRDefault="00767BEB" w:rsidP="006C5B2D">
            <w:pPr>
              <w:pStyle w:val="MDPI42tablebody"/>
              <w:autoSpaceDE w:val="0"/>
              <w:autoSpaceDN w:val="0"/>
              <w:spacing w:line="240" w:lineRule="auto"/>
              <w:rPr>
                <w:sz w:val="18"/>
                <w:szCs w:val="18"/>
                <w:lang w:val="en-US"/>
              </w:rPr>
            </w:pPr>
            <w:r w:rsidRPr="00D836A2">
              <w:rPr>
                <w:sz w:val="18"/>
                <w:szCs w:val="18"/>
                <w:lang w:val="en-US"/>
              </w:rPr>
              <w:t xml:space="preserve">1.2 mg </w:t>
            </w:r>
            <w:r w:rsidR="00FF17D2">
              <w:rPr>
                <w:sz w:val="18"/>
                <w:szCs w:val="18"/>
                <w:vertAlign w:val="superscript"/>
                <w:lang w:eastAsia="fr-FR"/>
              </w:rPr>
              <w:fldChar w:fldCharType="begin"/>
            </w:r>
            <w:r w:rsidR="006C5B2D">
              <w:rPr>
                <w:sz w:val="18"/>
                <w:szCs w:val="18"/>
                <w:vertAlign w:val="superscript"/>
                <w:lang w:val="en-US" w:eastAsia="fr-FR"/>
              </w:rPr>
              <w:instrText xml:space="preserve"> ADDIN REFMGR.CITE &lt;Refman&gt;&lt;Cite&gt;&lt;Author&gt;Martin&lt;/Author&gt;&lt;Year&gt;2001&lt;/Year&gt;&lt;RecNum&gt;1261&lt;/RecNum&gt;&lt;IDText&gt;Apports nutritionnels conseill&amp;#xE9;s pour la population fran&amp;#xE7;aise&lt;/IDText&gt;&lt;MDL Ref_Type="Book Chapter"&gt;&lt;Ref_Type&gt;Book Chapter&lt;/Ref_Type&gt;&lt;Ref_ID&gt;1261&lt;/Ref_ID&gt;&lt;Title_Primary&gt;Apports nutritionnels conseill&amp;#xE9;s pour la population fran&amp;#xE7;aise&lt;/Title_Primary&gt;&lt;Authors_Primary&gt;Martin,A.&lt;/Authors_Primary&gt;&lt;Date_Primary&gt;2001&lt;/Date_Primary&gt;&lt;Keywords&gt;population&lt;/Keywords&gt;&lt;Reprint&gt;Not in File&lt;/Reprint&gt;&lt;Volume&gt;3e&lt;/Volume&gt;&lt;Authors_Secondary&gt;Martin,A.&lt;/Authors_Secondary&gt;&lt;Issue&gt;605p&lt;/Issue&gt;&lt;Pub_Place&gt;Paris&lt;/Pub_Place&gt;&lt;Publisher&gt;Lavoisier&lt;/Publisher&gt;&lt;Title_Series&gt;Tec&amp;amp;Doc&lt;/Title_Series&gt;&lt;ZZ_WorkformID&gt;3&lt;/ZZ_WorkformID&gt;&lt;/MDL&gt;&lt;/Cite&gt;&lt;/Refman&gt;</w:instrText>
            </w:r>
            <w:r w:rsidR="00FF17D2">
              <w:rPr>
                <w:sz w:val="18"/>
                <w:szCs w:val="18"/>
                <w:vertAlign w:val="superscript"/>
                <w:lang w:eastAsia="fr-FR"/>
              </w:rPr>
              <w:fldChar w:fldCharType="separate"/>
            </w:r>
            <w:r w:rsidR="006C5B2D">
              <w:rPr>
                <w:sz w:val="18"/>
                <w:szCs w:val="18"/>
                <w:vertAlign w:val="superscript"/>
                <w:lang w:val="en-US" w:eastAsia="fr-FR"/>
              </w:rPr>
              <w:t>[24]</w:t>
            </w:r>
            <w:r w:rsidR="00FF17D2">
              <w:rPr>
                <w:sz w:val="18"/>
                <w:szCs w:val="18"/>
                <w:vertAlign w:val="superscript"/>
                <w:lang w:eastAsia="fr-FR"/>
              </w:rPr>
              <w:fldChar w:fldCharType="end"/>
            </w:r>
          </w:p>
        </w:tc>
        <w:tc>
          <w:tcPr>
            <w:tcW w:w="2464"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36.8</w:t>
            </w:r>
          </w:p>
        </w:tc>
        <w:tc>
          <w:tcPr>
            <w:tcW w:w="1206"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3.3</w:t>
            </w:r>
          </w:p>
        </w:tc>
      </w:tr>
      <w:tr w:rsidR="00767BEB" w:rsidRPr="00D836A2" w:rsidTr="005D10D8">
        <w:tc>
          <w:tcPr>
            <w:tcW w:w="2286" w:type="dxa"/>
            <w:noWrap/>
            <w:hideMark/>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 xml:space="preserve">Iodine </w:t>
            </w:r>
          </w:p>
        </w:tc>
        <w:tc>
          <w:tcPr>
            <w:tcW w:w="2214" w:type="dxa"/>
          </w:tcPr>
          <w:p w:rsidR="00767BEB" w:rsidRPr="00D836A2" w:rsidRDefault="00767BEB" w:rsidP="006C5B2D">
            <w:pPr>
              <w:pStyle w:val="MDPI42tablebody"/>
              <w:autoSpaceDE w:val="0"/>
              <w:autoSpaceDN w:val="0"/>
              <w:spacing w:line="240" w:lineRule="auto"/>
              <w:rPr>
                <w:sz w:val="18"/>
                <w:szCs w:val="18"/>
                <w:lang w:val="en-US"/>
              </w:rPr>
            </w:pPr>
            <w:r w:rsidRPr="00D836A2">
              <w:rPr>
                <w:sz w:val="18"/>
                <w:szCs w:val="18"/>
                <w:lang w:val="en-US"/>
              </w:rPr>
              <w:t xml:space="preserve">120 µg </w:t>
            </w:r>
            <w:r w:rsidR="00FF17D2">
              <w:rPr>
                <w:sz w:val="18"/>
                <w:szCs w:val="18"/>
                <w:vertAlign w:val="superscript"/>
                <w:lang w:eastAsia="fr-FR"/>
              </w:rPr>
              <w:fldChar w:fldCharType="begin"/>
            </w:r>
            <w:r w:rsidR="006C5B2D">
              <w:rPr>
                <w:sz w:val="18"/>
                <w:szCs w:val="18"/>
                <w:vertAlign w:val="superscript"/>
                <w:lang w:val="en-US" w:eastAsia="fr-FR"/>
              </w:rPr>
              <w:instrText xml:space="preserve"> ADDIN REFMGR.CITE &lt;Refman&gt;&lt;Cite&gt;&lt;Author&gt;Martin&lt;/Author&gt;&lt;Year&gt;2001&lt;/Year&gt;&lt;RecNum&gt;1261&lt;/RecNum&gt;&lt;IDText&gt;Apports nutritionnels conseill&amp;#xE9;s pour la population fran&amp;#xE7;aise&lt;/IDText&gt;&lt;MDL Ref_Type="Book Chapter"&gt;&lt;Ref_Type&gt;Book Chapter&lt;/Ref_Type&gt;&lt;Ref_ID&gt;1261&lt;/Ref_ID&gt;&lt;Title_Primary&gt;Apports nutritionnels conseill&amp;#xE9;s pour la population fran&amp;#xE7;aise&lt;/Title_Primary&gt;&lt;Authors_Primary&gt;Martin,A.&lt;/Authors_Primary&gt;&lt;Date_Primary&gt;2001&lt;/Date_Primary&gt;&lt;Keywords&gt;population&lt;/Keywords&gt;&lt;Reprint&gt;Not in File&lt;/Reprint&gt;&lt;Volume&gt;3e&lt;/Volume&gt;&lt;Authors_Secondary&gt;Martin,A.&lt;/Authors_Secondary&gt;&lt;Issue&gt;605p&lt;/Issue&gt;&lt;Pub_Place&gt;Paris&lt;/Pub_Place&gt;&lt;Publisher&gt;Lavoisier&lt;/Publisher&gt;&lt;Title_Series&gt;Tec&amp;amp;Doc&lt;/Title_Series&gt;&lt;ZZ_WorkformID&gt;3&lt;/ZZ_WorkformID&gt;&lt;/MDL&gt;&lt;/Cite&gt;&lt;/Refman&gt;</w:instrText>
            </w:r>
            <w:r w:rsidR="00FF17D2">
              <w:rPr>
                <w:sz w:val="18"/>
                <w:szCs w:val="18"/>
                <w:vertAlign w:val="superscript"/>
                <w:lang w:eastAsia="fr-FR"/>
              </w:rPr>
              <w:fldChar w:fldCharType="separate"/>
            </w:r>
            <w:r w:rsidR="006C5B2D">
              <w:rPr>
                <w:sz w:val="18"/>
                <w:szCs w:val="18"/>
                <w:vertAlign w:val="superscript"/>
                <w:lang w:val="en-US" w:eastAsia="fr-FR"/>
              </w:rPr>
              <w:t>[24]</w:t>
            </w:r>
            <w:r w:rsidR="00FF17D2">
              <w:rPr>
                <w:sz w:val="18"/>
                <w:szCs w:val="18"/>
                <w:vertAlign w:val="superscript"/>
                <w:lang w:eastAsia="fr-FR"/>
              </w:rPr>
              <w:fldChar w:fldCharType="end"/>
            </w:r>
          </w:p>
        </w:tc>
        <w:tc>
          <w:tcPr>
            <w:tcW w:w="2464"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42.1</w:t>
            </w:r>
          </w:p>
        </w:tc>
        <w:tc>
          <w:tcPr>
            <w:tcW w:w="1206"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6.7</w:t>
            </w:r>
          </w:p>
        </w:tc>
      </w:tr>
      <w:tr w:rsidR="00767BEB" w:rsidRPr="00D836A2" w:rsidTr="005D10D8">
        <w:tc>
          <w:tcPr>
            <w:tcW w:w="2286" w:type="dxa"/>
            <w:noWrap/>
            <w:hideMark/>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 xml:space="preserve">Selenium </w:t>
            </w:r>
          </w:p>
        </w:tc>
        <w:tc>
          <w:tcPr>
            <w:tcW w:w="2214" w:type="dxa"/>
          </w:tcPr>
          <w:p w:rsidR="00767BEB" w:rsidRPr="00D836A2" w:rsidRDefault="00767BEB" w:rsidP="006C5B2D">
            <w:pPr>
              <w:pStyle w:val="MDPI42tablebody"/>
              <w:autoSpaceDE w:val="0"/>
              <w:autoSpaceDN w:val="0"/>
              <w:spacing w:line="240" w:lineRule="auto"/>
              <w:rPr>
                <w:sz w:val="18"/>
                <w:szCs w:val="18"/>
                <w:lang w:val="en-US"/>
              </w:rPr>
            </w:pPr>
            <w:r w:rsidRPr="00D836A2">
              <w:rPr>
                <w:sz w:val="18"/>
                <w:szCs w:val="18"/>
                <w:lang w:val="en-US"/>
              </w:rPr>
              <w:t xml:space="preserve">39 µg </w:t>
            </w:r>
            <w:r w:rsidR="00FF17D2">
              <w:rPr>
                <w:sz w:val="18"/>
                <w:szCs w:val="18"/>
                <w:vertAlign w:val="superscript"/>
                <w:lang w:eastAsia="fr-FR"/>
              </w:rPr>
              <w:fldChar w:fldCharType="begin"/>
            </w:r>
            <w:r w:rsidR="006C5B2D">
              <w:rPr>
                <w:sz w:val="18"/>
                <w:szCs w:val="18"/>
                <w:vertAlign w:val="superscript"/>
                <w:lang w:val="en-US" w:eastAsia="fr-FR"/>
              </w:rPr>
              <w:instrText xml:space="preserve"> ADDIN REFMGR.CITE &lt;Refman&gt;&lt;Cite&gt;&lt;Author&gt;Martin&lt;/Author&gt;&lt;Year&gt;2001&lt;/Year&gt;&lt;RecNum&gt;1261&lt;/RecNum&gt;&lt;IDText&gt;Apports nutritionnels conseill&amp;#xE9;s pour la population fran&amp;#xE7;aise&lt;/IDText&gt;&lt;MDL Ref_Type="Book Chapter"&gt;&lt;Ref_Type&gt;Book Chapter&lt;/Ref_Type&gt;&lt;Ref_ID&gt;1261&lt;/Ref_ID&gt;&lt;Title_Primary&gt;Apports nutritionnels conseill&amp;#xE9;s pour la population fran&amp;#xE7;aise&lt;/Title_Primary&gt;&lt;Authors_Primary&gt;Martin,A.&lt;/Authors_Primary&gt;&lt;Date_Primary&gt;2001&lt;/Date_Primary&gt;&lt;Keywords&gt;population&lt;/Keywords&gt;&lt;Reprint&gt;Not in File&lt;/Reprint&gt;&lt;Volume&gt;3e&lt;/Volume&gt;&lt;Authors_Secondary&gt;Martin,A.&lt;/Authors_Secondary&gt;&lt;Issue&gt;605p&lt;/Issue&gt;&lt;Pub_Place&gt;Paris&lt;/Pub_Place&gt;&lt;Publisher&gt;Lavoisier&lt;/Publisher&gt;&lt;Title_Series&gt;Tec&amp;amp;Doc&lt;/Title_Series&gt;&lt;ZZ_WorkformID&gt;3&lt;/ZZ_WorkformID&gt;&lt;/MDL&gt;&lt;/Cite&gt;&lt;/Refman&gt;</w:instrText>
            </w:r>
            <w:r w:rsidR="00FF17D2">
              <w:rPr>
                <w:sz w:val="18"/>
                <w:szCs w:val="18"/>
                <w:vertAlign w:val="superscript"/>
                <w:lang w:eastAsia="fr-FR"/>
              </w:rPr>
              <w:fldChar w:fldCharType="separate"/>
            </w:r>
            <w:r w:rsidR="006C5B2D">
              <w:rPr>
                <w:sz w:val="18"/>
                <w:szCs w:val="18"/>
                <w:vertAlign w:val="superscript"/>
                <w:lang w:val="en-US" w:eastAsia="fr-FR"/>
              </w:rPr>
              <w:t>[24]</w:t>
            </w:r>
            <w:r w:rsidR="00FF17D2">
              <w:rPr>
                <w:sz w:val="18"/>
                <w:szCs w:val="18"/>
                <w:vertAlign w:val="superscript"/>
                <w:lang w:eastAsia="fr-FR"/>
              </w:rPr>
              <w:fldChar w:fldCharType="end"/>
            </w:r>
          </w:p>
        </w:tc>
        <w:tc>
          <w:tcPr>
            <w:tcW w:w="2464"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52.0</w:t>
            </w:r>
          </w:p>
        </w:tc>
        <w:tc>
          <w:tcPr>
            <w:tcW w:w="1206" w:type="dxa"/>
            <w:noWrap/>
            <w:hideMark/>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6.1</w:t>
            </w:r>
          </w:p>
        </w:tc>
      </w:tr>
      <w:tr w:rsidR="00767BEB" w:rsidRPr="00D836A2" w:rsidTr="005D10D8">
        <w:tc>
          <w:tcPr>
            <w:tcW w:w="2286" w:type="dxa"/>
            <w:noWrap/>
          </w:tcPr>
          <w:p w:rsidR="00767BEB" w:rsidRPr="00D836A2" w:rsidRDefault="00767BEB" w:rsidP="005D10D8">
            <w:pPr>
              <w:pStyle w:val="MDPI42tablebody"/>
              <w:autoSpaceDE w:val="0"/>
              <w:autoSpaceDN w:val="0"/>
              <w:spacing w:line="240" w:lineRule="auto"/>
              <w:rPr>
                <w:sz w:val="18"/>
                <w:szCs w:val="18"/>
                <w:lang w:val="en-US" w:eastAsia="fr-FR"/>
              </w:rPr>
            </w:pPr>
            <w:r w:rsidRPr="00D836A2">
              <w:rPr>
                <w:sz w:val="18"/>
                <w:szCs w:val="18"/>
                <w:lang w:val="en-US" w:eastAsia="fr-FR"/>
              </w:rPr>
              <w:t>MAR (%)</w:t>
            </w:r>
            <w:r w:rsidR="00AA7401" w:rsidRPr="00D836A2">
              <w:rPr>
                <w:sz w:val="18"/>
                <w:szCs w:val="18"/>
                <w:vertAlign w:val="superscript"/>
                <w:lang w:val="en-US" w:eastAsia="fr-FR"/>
              </w:rPr>
              <w:t>b</w:t>
            </w:r>
          </w:p>
        </w:tc>
        <w:tc>
          <w:tcPr>
            <w:tcW w:w="2214" w:type="dxa"/>
          </w:tcPr>
          <w:p w:rsidR="00767BEB" w:rsidRPr="00D836A2" w:rsidRDefault="00767BEB" w:rsidP="005D10D8">
            <w:pPr>
              <w:pStyle w:val="MDPI42tablebody"/>
              <w:autoSpaceDE w:val="0"/>
              <w:autoSpaceDN w:val="0"/>
              <w:spacing w:line="240" w:lineRule="auto"/>
              <w:rPr>
                <w:sz w:val="18"/>
                <w:szCs w:val="18"/>
                <w:lang w:val="en-US"/>
              </w:rPr>
            </w:pPr>
          </w:p>
        </w:tc>
        <w:tc>
          <w:tcPr>
            <w:tcW w:w="2464" w:type="dxa"/>
            <w:noWrap/>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49.3</w:t>
            </w:r>
          </w:p>
        </w:tc>
        <w:tc>
          <w:tcPr>
            <w:tcW w:w="1206" w:type="dxa"/>
            <w:noWrap/>
          </w:tcPr>
          <w:p w:rsidR="00767BEB" w:rsidRPr="00D836A2" w:rsidRDefault="00767BEB" w:rsidP="005D10D8">
            <w:pPr>
              <w:pStyle w:val="MDPI42tablebody"/>
              <w:autoSpaceDE w:val="0"/>
              <w:autoSpaceDN w:val="0"/>
              <w:spacing w:line="240" w:lineRule="auto"/>
              <w:rPr>
                <w:sz w:val="18"/>
                <w:szCs w:val="18"/>
                <w:lang w:val="en-US"/>
              </w:rPr>
            </w:pPr>
            <w:r w:rsidRPr="00D836A2">
              <w:rPr>
                <w:sz w:val="18"/>
                <w:szCs w:val="18"/>
                <w:lang w:val="en-US"/>
              </w:rPr>
              <w:t>3.7</w:t>
            </w:r>
          </w:p>
        </w:tc>
      </w:tr>
    </w:tbl>
    <w:p w:rsidR="00243EC4" w:rsidRPr="00D836A2" w:rsidRDefault="00767BEB" w:rsidP="00B42F8E">
      <w:pPr>
        <w:pStyle w:val="MDPI43tablefooter"/>
        <w:spacing w:after="0" w:line="240" w:lineRule="auto"/>
        <w:ind w:left="425" w:right="425"/>
        <w:jc w:val="left"/>
      </w:pPr>
      <w:r w:rsidRPr="00D836A2">
        <w:rPr>
          <w:vertAlign w:val="superscript"/>
        </w:rPr>
        <w:t>a</w:t>
      </w:r>
      <w:r w:rsidRPr="00D836A2">
        <w:t xml:space="preserve"> </w:t>
      </w:r>
      <w:r w:rsidR="00203B63">
        <w:t xml:space="preserve">Here, </w:t>
      </w:r>
      <w:r w:rsidRPr="00D836A2">
        <w:t>“</w:t>
      </w:r>
      <w:r w:rsidR="00203B63">
        <w:t>m</w:t>
      </w:r>
      <w:r w:rsidRPr="00D836A2">
        <w:t xml:space="preserve">eal” </w:t>
      </w:r>
      <w:r w:rsidR="00203B63">
        <w:t>is defined as</w:t>
      </w:r>
      <w:r w:rsidRPr="00D836A2">
        <w:t xml:space="preserve"> the average value for a complete series of 20 meals divided by 20.</w:t>
      </w:r>
    </w:p>
    <w:p w:rsidR="00243EC4" w:rsidRPr="00D836A2" w:rsidRDefault="00455EA6" w:rsidP="00B42F8E">
      <w:pPr>
        <w:pStyle w:val="MDPI43tablefooter"/>
        <w:spacing w:after="0" w:line="240" w:lineRule="auto"/>
        <w:ind w:left="425" w:right="425"/>
        <w:jc w:val="left"/>
      </w:pPr>
      <w:r w:rsidRPr="00D836A2">
        <w:rPr>
          <w:vertAlign w:val="superscript"/>
        </w:rPr>
        <w:t>b</w:t>
      </w:r>
      <w:r w:rsidRPr="00D836A2">
        <w:t xml:space="preserve"> </w:t>
      </w:r>
      <w:r w:rsidR="00203B63">
        <w:t>E</w:t>
      </w:r>
      <w:r w:rsidRPr="00D836A2">
        <w:t xml:space="preserve">stimated </w:t>
      </w:r>
      <w:r w:rsidR="00203B63">
        <w:t>according to</w:t>
      </w:r>
      <w:r w:rsidR="00203B63" w:rsidRPr="00D836A2">
        <w:t xml:space="preserve"> </w:t>
      </w:r>
      <w:r w:rsidRPr="00D836A2">
        <w:t>equation 1</w:t>
      </w:r>
      <w:r w:rsidR="00203B63">
        <w:t>.</w:t>
      </w:r>
    </w:p>
    <w:p w:rsidR="002C5B09" w:rsidRPr="00D836A2" w:rsidRDefault="002C5B09" w:rsidP="005D10D8">
      <w:pPr>
        <w:pStyle w:val="MDPI31text"/>
      </w:pPr>
      <w:r w:rsidRPr="00D836A2">
        <w:t>When the nutrients to favor were examined separately, the observed series provided significantly more than the threshold of 35.6% of daily recommended intake</w:t>
      </w:r>
      <w:r w:rsidR="00203B63" w:rsidRPr="00203B63">
        <w:t xml:space="preserve"> </w:t>
      </w:r>
      <w:r w:rsidR="00203B63" w:rsidRPr="00D836A2">
        <w:t>for three-quarters of them</w:t>
      </w:r>
      <w:r w:rsidRPr="00D836A2">
        <w:t>. Vitamin C content (35.0%) was not significantly different</w:t>
      </w:r>
      <w:r w:rsidR="00D56657" w:rsidRPr="00D836A2">
        <w:t xml:space="preserve"> from the 3</w:t>
      </w:r>
      <w:r w:rsidR="007D096B">
        <w:t>5</w:t>
      </w:r>
      <w:r w:rsidR="00D56657" w:rsidRPr="00D836A2">
        <w:t>.</w:t>
      </w:r>
      <w:r w:rsidR="007D096B">
        <w:t>6</w:t>
      </w:r>
      <w:r w:rsidR="00D56657" w:rsidRPr="00D836A2">
        <w:t>% threshold</w:t>
      </w:r>
      <w:r w:rsidRPr="00D836A2">
        <w:t>, and calcium (</w:t>
      </w:r>
      <w:r w:rsidR="007D096B" w:rsidRPr="00D836A2">
        <w:t>3</w:t>
      </w:r>
      <w:r w:rsidR="007D096B">
        <w:t>4</w:t>
      </w:r>
      <w:r w:rsidRPr="00D836A2">
        <w:t>.</w:t>
      </w:r>
      <w:r w:rsidR="007D096B">
        <w:t>2</w:t>
      </w:r>
      <w:r w:rsidRPr="00D836A2">
        <w:t>%) and potassium (33.6%) content were slightly but significantly below</w:t>
      </w:r>
      <w:r w:rsidR="00203B63">
        <w:t xml:space="preserve"> </w:t>
      </w:r>
      <w:r w:rsidR="00D56657" w:rsidRPr="00D836A2">
        <w:t>it</w:t>
      </w:r>
      <w:r w:rsidRPr="00D836A2">
        <w:t xml:space="preserve">. Only alpha-linolenic acid (20.4%) and vitamin D (17.3%) content were much lower than the </w:t>
      </w:r>
      <w:r w:rsidR="00D56657" w:rsidRPr="00D836A2">
        <w:t>3</w:t>
      </w:r>
      <w:r w:rsidR="007D096B">
        <w:t>5</w:t>
      </w:r>
      <w:r w:rsidR="00D56657" w:rsidRPr="00D836A2">
        <w:t>.</w:t>
      </w:r>
      <w:r w:rsidR="007D096B">
        <w:t>6</w:t>
      </w:r>
      <w:r w:rsidR="00D56657" w:rsidRPr="00D836A2">
        <w:t xml:space="preserve">% </w:t>
      </w:r>
      <w:r w:rsidRPr="00D836A2">
        <w:t xml:space="preserve">threshold. The five </w:t>
      </w:r>
      <w:r w:rsidR="00741C63" w:rsidRPr="00D836A2">
        <w:t xml:space="preserve">meal </w:t>
      </w:r>
      <w:r w:rsidRPr="00D836A2">
        <w:t>components contributed to coverage of recommended nutrient intakes differently depending on the nutrient considered (</w:t>
      </w:r>
      <w:r w:rsidR="00E32C95" w:rsidRPr="00D836A2">
        <w:rPr>
          <w:b/>
        </w:rPr>
        <w:t>Figure A1</w:t>
      </w:r>
      <w:r w:rsidRPr="00D836A2">
        <w:t>). The starters were the main contributors of linoleic acid, alpha-linolenic acid</w:t>
      </w:r>
      <w:r w:rsidR="00AF4666">
        <w:t>,</w:t>
      </w:r>
      <w:r w:rsidRPr="00D836A2">
        <w:t xml:space="preserve"> and vitamins A and E. The protein dishes provided the bulk of protein, DHA</w:t>
      </w:r>
      <w:r w:rsidR="00AF4666">
        <w:t>,</w:t>
      </w:r>
      <w:r w:rsidRPr="00D836A2">
        <w:t xml:space="preserve"> and vitamins B3, B6, B12 and D, as well as iron, zinc, iodine and selenium. The side </w:t>
      </w:r>
      <w:r w:rsidR="000E3BDE">
        <w:t xml:space="preserve">dishes </w:t>
      </w:r>
      <w:r w:rsidRPr="00D836A2">
        <w:t>were the main contributors of fiber, vitamin B9, potassium, magnesium and copper. Dairy products and desserts where the main contributors of calcium and vitamin C respectively.</w:t>
      </w:r>
    </w:p>
    <w:p w:rsidR="002C5B09" w:rsidRPr="00D836A2" w:rsidRDefault="002C5B09" w:rsidP="005D10D8">
      <w:pPr>
        <w:pStyle w:val="MDPI22heading2"/>
        <w:rPr>
          <w:noProof w:val="0"/>
        </w:rPr>
      </w:pPr>
      <w:r w:rsidRPr="00D836A2">
        <w:rPr>
          <w:noProof w:val="0"/>
        </w:rPr>
        <w:lastRenderedPageBreak/>
        <w:t>3.4. Nutritional Quality of the Simulated Series</w:t>
      </w:r>
    </w:p>
    <w:p w:rsidR="00767BEB" w:rsidRPr="00D836A2" w:rsidRDefault="00D43FA0" w:rsidP="005D10D8">
      <w:pPr>
        <w:pStyle w:val="MDPI31text"/>
      </w:pPr>
      <w:r w:rsidRPr="00D836A2">
        <w:t>For the “Compliance with Observed Series”</w:t>
      </w:r>
      <w:r w:rsidR="00C337F0" w:rsidRPr="00D836A2">
        <w:t xml:space="preserve"> scenario</w:t>
      </w:r>
      <w:r w:rsidRPr="00D836A2">
        <w:t xml:space="preserve">, the level of compliance with </w:t>
      </w:r>
      <w:r w:rsidR="000A6F0E" w:rsidRPr="00D836A2">
        <w:t>FC</w:t>
      </w:r>
      <w:r w:rsidRPr="00D836A2">
        <w:t>, regardless of the score used, was positively correlated with MAR/2000 kcal (</w:t>
      </w:r>
      <w:r w:rsidRPr="00D836A2">
        <w:rPr>
          <w:b/>
        </w:rPr>
        <w:t xml:space="preserve">Figure </w:t>
      </w:r>
      <w:r w:rsidR="009940D2">
        <w:rPr>
          <w:b/>
        </w:rPr>
        <w:t>3</w:t>
      </w:r>
      <w:r w:rsidRPr="00D836A2">
        <w:t xml:space="preserve">). </w:t>
      </w:r>
    </w:p>
    <w:tbl>
      <w:tblPr>
        <w:tblW w:w="0" w:type="auto"/>
        <w:tblLook w:val="04A0" w:firstRow="1" w:lastRow="0" w:firstColumn="1" w:lastColumn="0" w:noHBand="0" w:noVBand="1"/>
      </w:tblPr>
      <w:tblGrid>
        <w:gridCol w:w="4530"/>
        <w:gridCol w:w="4530"/>
      </w:tblGrid>
      <w:tr w:rsidR="00767BEB" w:rsidRPr="00D836A2" w:rsidTr="00767BEB">
        <w:tc>
          <w:tcPr>
            <w:tcW w:w="4408" w:type="dxa"/>
            <w:shd w:val="clear" w:color="auto" w:fill="auto"/>
          </w:tcPr>
          <w:p w:rsidR="00767BEB" w:rsidRPr="00D836A2" w:rsidRDefault="00767BEB" w:rsidP="00767BEB">
            <w:pPr>
              <w:pStyle w:val="MDPI52figure"/>
              <w:rPr>
                <w:lang w:eastAsia="fr-FR"/>
              </w:rPr>
            </w:pPr>
            <w:r w:rsidRPr="00D836A2">
              <w:t>A)</w:t>
            </w:r>
            <w:r w:rsidRPr="00D836A2">
              <w:rPr>
                <w:b/>
                <w:vertAlign w:val="superscript"/>
              </w:rPr>
              <w:t>1</w:t>
            </w:r>
          </w:p>
          <w:p w:rsidR="00767BEB" w:rsidRPr="00D836A2" w:rsidRDefault="00B4769A" w:rsidP="00767BEB">
            <w:pPr>
              <w:pStyle w:val="MDPI52figure"/>
            </w:pPr>
            <w:r>
              <w:rPr>
                <w:noProof/>
                <w:lang w:val="fr-FR" w:eastAsia="fr-FR" w:bidi="ar-SA"/>
              </w:rPr>
              <w:drawing>
                <wp:inline distT="0" distB="0" distL="0" distR="0">
                  <wp:extent cx="2736000" cy="2052000"/>
                  <wp:effectExtent l="0" t="0" r="7620" b="5715"/>
                  <wp:docPr id="2" name="Image 2" descr="C:\Users\florent\SGPl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orent\SGPlot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6000" cy="2052000"/>
                          </a:xfrm>
                          <a:prstGeom prst="rect">
                            <a:avLst/>
                          </a:prstGeom>
                          <a:noFill/>
                          <a:ln>
                            <a:noFill/>
                          </a:ln>
                        </pic:spPr>
                      </pic:pic>
                    </a:graphicData>
                  </a:graphic>
                </wp:inline>
              </w:drawing>
            </w:r>
          </w:p>
        </w:tc>
        <w:tc>
          <w:tcPr>
            <w:tcW w:w="4436" w:type="dxa"/>
            <w:shd w:val="clear" w:color="auto" w:fill="auto"/>
          </w:tcPr>
          <w:p w:rsidR="00767BEB" w:rsidRPr="00D836A2" w:rsidRDefault="00767BEB" w:rsidP="00767BEB">
            <w:pPr>
              <w:pStyle w:val="MDPI52figure"/>
            </w:pPr>
            <w:r w:rsidRPr="00D836A2">
              <w:t>B)</w:t>
            </w:r>
            <w:r w:rsidRPr="00D836A2">
              <w:rPr>
                <w:b/>
                <w:vertAlign w:val="superscript"/>
              </w:rPr>
              <w:t xml:space="preserve"> 2</w:t>
            </w:r>
          </w:p>
          <w:p w:rsidR="00767BEB" w:rsidRPr="00D836A2" w:rsidRDefault="00B4769A" w:rsidP="00767BEB">
            <w:pPr>
              <w:pStyle w:val="MDPI52figure"/>
            </w:pPr>
            <w:r>
              <w:rPr>
                <w:noProof/>
                <w:lang w:val="fr-FR" w:eastAsia="fr-FR" w:bidi="ar-SA"/>
              </w:rPr>
              <w:drawing>
                <wp:inline distT="0" distB="0" distL="0" distR="0">
                  <wp:extent cx="2736000" cy="2052000"/>
                  <wp:effectExtent l="0" t="0" r="7620" b="5715"/>
                  <wp:docPr id="1" name="Image 1" descr="C:\Users\florent\SGPl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ent\SGPlot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6000" cy="2052000"/>
                          </a:xfrm>
                          <a:prstGeom prst="rect">
                            <a:avLst/>
                          </a:prstGeom>
                          <a:noFill/>
                          <a:ln>
                            <a:noFill/>
                          </a:ln>
                        </pic:spPr>
                      </pic:pic>
                    </a:graphicData>
                  </a:graphic>
                </wp:inline>
              </w:drawing>
            </w:r>
          </w:p>
        </w:tc>
      </w:tr>
    </w:tbl>
    <w:p w:rsidR="00767BEB" w:rsidRPr="00D836A2" w:rsidRDefault="00767BEB" w:rsidP="005D10D8">
      <w:pPr>
        <w:pStyle w:val="MDPI51figurecaption"/>
        <w:rPr>
          <w:lang w:eastAsia="fr-FR"/>
        </w:rPr>
      </w:pPr>
      <w:r w:rsidRPr="00D836A2">
        <w:rPr>
          <w:b/>
        </w:rPr>
        <w:t xml:space="preserve">Figure </w:t>
      </w:r>
      <w:r w:rsidR="009940D2">
        <w:rPr>
          <w:b/>
        </w:rPr>
        <w:t>3</w:t>
      </w:r>
      <w:r w:rsidRPr="00D836A2">
        <w:rPr>
          <w:b/>
        </w:rPr>
        <w:t>.</w:t>
      </w:r>
      <w:r w:rsidRPr="00D836A2">
        <w:t xml:space="preserve"> Mean Adequacy Ratio (MAR, expressed in % of adequacy for 2000 kcal) </w:t>
      </w:r>
      <w:r w:rsidR="00AF4666">
        <w:t xml:space="preserve">point clouds </w:t>
      </w:r>
      <w:r w:rsidR="0098104E" w:rsidRPr="00D836A2">
        <w:t xml:space="preserve">according </w:t>
      </w:r>
      <w:r w:rsidRPr="00D836A2">
        <w:t xml:space="preserve">to the </w:t>
      </w:r>
      <w:r w:rsidR="0098104E" w:rsidRPr="00D836A2">
        <w:t>l</w:t>
      </w:r>
      <w:r w:rsidRPr="00D836A2">
        <w:t xml:space="preserve">evel of </w:t>
      </w:r>
      <w:r w:rsidR="0098104E" w:rsidRPr="00D836A2">
        <w:t>c</w:t>
      </w:r>
      <w:r w:rsidRPr="00D836A2">
        <w:t xml:space="preserve">ompliance with </w:t>
      </w:r>
      <w:r w:rsidR="0098104E" w:rsidRPr="00D836A2">
        <w:t>f</w:t>
      </w:r>
      <w:r w:rsidRPr="00D836A2">
        <w:t xml:space="preserve">requency </w:t>
      </w:r>
      <w:r w:rsidR="0098104E" w:rsidRPr="00D836A2">
        <w:t>c</w:t>
      </w:r>
      <w:r w:rsidRPr="00D836A2">
        <w:t xml:space="preserve">riteria </w:t>
      </w:r>
      <w:r w:rsidR="00264D4F" w:rsidRPr="00D836A2">
        <w:t xml:space="preserve">(FC) </w:t>
      </w:r>
      <w:r w:rsidR="0098104E" w:rsidRPr="00D836A2">
        <w:t>e</w:t>
      </w:r>
      <w:r w:rsidRPr="00D836A2">
        <w:t xml:space="preserve">stimated by the “Number of </w:t>
      </w:r>
      <w:r w:rsidR="00D856BE" w:rsidRPr="00D836A2">
        <w:t>FC</w:t>
      </w:r>
      <w:r w:rsidRPr="00D836A2">
        <w:t xml:space="preserve"> Followed” (2A) and the “Relative Compliance Score” (2B) in the “Compliance with Observed Series” </w:t>
      </w:r>
      <w:r w:rsidR="0098104E" w:rsidRPr="00D836A2">
        <w:t>s</w:t>
      </w:r>
      <w:r w:rsidRPr="00D836A2">
        <w:t>eries (n=1600 series simulated by scenario 1, with recommended weights).</w:t>
      </w:r>
      <w:r w:rsidR="005D10D8" w:rsidRPr="00D836A2">
        <w:rPr>
          <w:b/>
          <w:vertAlign w:val="superscript"/>
        </w:rPr>
        <w:t xml:space="preserve">1 </w:t>
      </w:r>
      <w:r w:rsidR="005D10D8" w:rsidRPr="00D836A2">
        <w:t xml:space="preserve">Spearman </w:t>
      </w:r>
      <w:r w:rsidR="00B42F8E">
        <w:t>c</w:t>
      </w:r>
      <w:r w:rsidR="005D10D8" w:rsidRPr="00D836A2">
        <w:t>orrelation: 0.36, p&lt;0.0001</w:t>
      </w:r>
      <w:r w:rsidR="005D10D8" w:rsidRPr="00D836A2">
        <w:rPr>
          <w:lang w:eastAsia="fr-FR"/>
        </w:rPr>
        <w:t>;</w:t>
      </w:r>
      <w:r w:rsidR="005D10D8" w:rsidRPr="00D836A2">
        <w:rPr>
          <w:b/>
          <w:vertAlign w:val="superscript"/>
        </w:rPr>
        <w:t>2</w:t>
      </w:r>
      <w:r w:rsidR="00AF4666">
        <w:t xml:space="preserve"> S</w:t>
      </w:r>
      <w:r w:rsidR="005D10D8" w:rsidRPr="00D836A2">
        <w:t xml:space="preserve">pearman </w:t>
      </w:r>
      <w:r w:rsidR="00B42F8E">
        <w:t>c</w:t>
      </w:r>
      <w:r w:rsidR="005D10D8" w:rsidRPr="00D836A2">
        <w:t>orrelation: 0.34, p&lt;0.0001.</w:t>
      </w:r>
    </w:p>
    <w:p w:rsidR="00D43FA0" w:rsidRPr="00D836A2" w:rsidRDefault="00D43FA0" w:rsidP="005D10D8">
      <w:pPr>
        <w:pStyle w:val="MDPI31text"/>
      </w:pPr>
      <w:r w:rsidRPr="00D836A2">
        <w:t>This correlation reached a plateau—equal to 10 for the “</w:t>
      </w:r>
      <w:r w:rsidR="007824B6" w:rsidRPr="00D836A2">
        <w:t xml:space="preserve">Number </w:t>
      </w:r>
      <w:r w:rsidRPr="00D836A2">
        <w:t xml:space="preserve">of </w:t>
      </w:r>
      <w:r w:rsidR="00D856BE" w:rsidRPr="00D836A2">
        <w:t>FC</w:t>
      </w:r>
      <w:r w:rsidR="007824B6" w:rsidRPr="00D836A2">
        <w:t xml:space="preserve"> Followed</w:t>
      </w:r>
      <w:r w:rsidRPr="00D836A2">
        <w:t>” and 13 for the “</w:t>
      </w:r>
      <w:r w:rsidR="007824B6" w:rsidRPr="00D836A2">
        <w:t>Relative Compliance Score</w:t>
      </w:r>
      <w:r w:rsidRPr="00D836A2">
        <w:t>”—above which the correlation was no longer significant.</w:t>
      </w:r>
    </w:p>
    <w:p w:rsidR="005D10D8" w:rsidRPr="00D836A2" w:rsidRDefault="00336189" w:rsidP="005D10D8">
      <w:pPr>
        <w:pStyle w:val="MDPI31text"/>
      </w:pPr>
      <w:r w:rsidRPr="00D836A2">
        <w:t>Among the simulated series, t</w:t>
      </w:r>
      <w:r w:rsidR="00D43FA0" w:rsidRPr="00D836A2">
        <w:t xml:space="preserve">he “Complete Compliance with </w:t>
      </w:r>
      <w:r w:rsidR="00D856BE" w:rsidRPr="00D836A2">
        <w:t>FC</w:t>
      </w:r>
      <w:r w:rsidR="00D43FA0" w:rsidRPr="00D836A2">
        <w:t xml:space="preserve">” series had the highest MAR/2000 kcal </w:t>
      </w:r>
      <w:r w:rsidR="00AF4666" w:rsidRPr="00D836A2">
        <w:t xml:space="preserve">on average </w:t>
      </w:r>
      <w:r w:rsidR="00D43FA0" w:rsidRPr="00D836A2">
        <w:t>(</w:t>
      </w:r>
      <w:r w:rsidR="00D43FA0" w:rsidRPr="00D836A2">
        <w:rPr>
          <w:b/>
        </w:rPr>
        <w:t xml:space="preserve">Figure </w:t>
      </w:r>
      <w:r w:rsidR="009940D2">
        <w:rPr>
          <w:b/>
        </w:rPr>
        <w:t>4</w:t>
      </w:r>
      <w:r w:rsidR="00D43FA0" w:rsidRPr="00D836A2">
        <w:t>).</w:t>
      </w:r>
    </w:p>
    <w:p w:rsidR="005D10D8" w:rsidRPr="00D836A2" w:rsidRDefault="005D10D8" w:rsidP="005D10D8">
      <w:pPr>
        <w:pStyle w:val="MDPI12title"/>
        <w:rPr>
          <w:sz w:val="20"/>
          <w:szCs w:val="22"/>
        </w:rPr>
      </w:pPr>
      <w:r w:rsidRPr="00D836A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446"/>
      </w:tblGrid>
      <w:tr w:rsidR="00D66C6A" w:rsidRPr="00D836A2" w:rsidTr="00767BEB">
        <w:tc>
          <w:tcPr>
            <w:tcW w:w="4417" w:type="dxa"/>
            <w:shd w:val="clear" w:color="auto" w:fill="auto"/>
          </w:tcPr>
          <w:p w:rsidR="00767BEB" w:rsidRPr="00D836A2" w:rsidRDefault="00767BEB" w:rsidP="00767BEB">
            <w:pPr>
              <w:pStyle w:val="MDPI52figure"/>
            </w:pPr>
            <w:r w:rsidRPr="00D836A2">
              <w:lastRenderedPageBreak/>
              <w:t xml:space="preserve">A) </w:t>
            </w:r>
            <w:r w:rsidRPr="00D836A2">
              <w:rPr>
                <w:vertAlign w:val="superscript"/>
              </w:rPr>
              <w:t>1</w:t>
            </w:r>
          </w:p>
          <w:p w:rsidR="00767BEB" w:rsidRPr="00D836A2" w:rsidRDefault="00B4769A" w:rsidP="00767BEB">
            <w:pPr>
              <w:pStyle w:val="MDPI52figure"/>
            </w:pPr>
            <w:r>
              <w:rPr>
                <w:noProof/>
                <w:lang w:val="fr-FR" w:eastAsia="fr-FR" w:bidi="ar-SA"/>
              </w:rPr>
              <w:drawing>
                <wp:inline distT="0" distB="0" distL="0" distR="0">
                  <wp:extent cx="2679700" cy="2009775"/>
                  <wp:effectExtent l="0" t="0" r="6350" b="9525"/>
                  <wp:docPr id="8" name="Image 8" descr="C:\Users\florent\SGPlo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orent\SGPlot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9985" cy="2009989"/>
                          </a:xfrm>
                          <a:prstGeom prst="rect">
                            <a:avLst/>
                          </a:prstGeom>
                          <a:noFill/>
                          <a:ln>
                            <a:noFill/>
                          </a:ln>
                        </pic:spPr>
                      </pic:pic>
                    </a:graphicData>
                  </a:graphic>
                </wp:inline>
              </w:drawing>
            </w:r>
          </w:p>
        </w:tc>
        <w:tc>
          <w:tcPr>
            <w:tcW w:w="4417" w:type="dxa"/>
            <w:shd w:val="clear" w:color="auto" w:fill="auto"/>
          </w:tcPr>
          <w:p w:rsidR="00767BEB" w:rsidRPr="00D836A2" w:rsidRDefault="00767BEB" w:rsidP="00767BEB">
            <w:pPr>
              <w:pStyle w:val="MDPI52figure"/>
            </w:pPr>
            <w:r w:rsidRPr="00D836A2">
              <w:t>B)</w:t>
            </w:r>
            <w:r w:rsidRPr="00D836A2">
              <w:rPr>
                <w:vertAlign w:val="superscript"/>
              </w:rPr>
              <w:t xml:space="preserve"> 2</w:t>
            </w:r>
          </w:p>
          <w:p w:rsidR="00767BEB" w:rsidRPr="00D836A2" w:rsidRDefault="00B4769A" w:rsidP="00767BEB">
            <w:pPr>
              <w:pStyle w:val="MDPI52figure"/>
            </w:pPr>
            <w:r>
              <w:rPr>
                <w:noProof/>
                <w:lang w:val="fr-FR" w:eastAsia="fr-FR" w:bidi="ar-SA"/>
              </w:rPr>
              <w:drawing>
                <wp:inline distT="0" distB="0" distL="0" distR="0">
                  <wp:extent cx="2678400" cy="2008800"/>
                  <wp:effectExtent l="0" t="0" r="8255" b="0"/>
                  <wp:docPr id="9" name="Image 9" descr="C:\Users\florent\SGPlo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orent\SGPlot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8400" cy="2008800"/>
                          </a:xfrm>
                          <a:prstGeom prst="rect">
                            <a:avLst/>
                          </a:prstGeom>
                          <a:noFill/>
                          <a:ln>
                            <a:noFill/>
                          </a:ln>
                        </pic:spPr>
                      </pic:pic>
                    </a:graphicData>
                  </a:graphic>
                </wp:inline>
              </w:drawing>
            </w:r>
          </w:p>
        </w:tc>
      </w:tr>
      <w:tr w:rsidR="00D66C6A" w:rsidRPr="00D836A2" w:rsidTr="00767BEB">
        <w:tc>
          <w:tcPr>
            <w:tcW w:w="4417" w:type="dxa"/>
            <w:shd w:val="clear" w:color="auto" w:fill="auto"/>
          </w:tcPr>
          <w:p w:rsidR="00767BEB" w:rsidRPr="00D836A2" w:rsidRDefault="00767BEB" w:rsidP="00767BEB">
            <w:pPr>
              <w:pStyle w:val="MDPI52figure"/>
            </w:pPr>
            <w:r w:rsidRPr="00D836A2">
              <w:t>C)</w:t>
            </w:r>
            <w:r w:rsidRPr="00D836A2">
              <w:rPr>
                <w:vertAlign w:val="superscript"/>
              </w:rPr>
              <w:t xml:space="preserve"> 3</w:t>
            </w:r>
          </w:p>
          <w:p w:rsidR="00767BEB" w:rsidRPr="00D836A2" w:rsidRDefault="00B4769A" w:rsidP="00767BEB">
            <w:pPr>
              <w:pStyle w:val="MDPI52figure"/>
            </w:pPr>
            <w:r>
              <w:rPr>
                <w:noProof/>
                <w:lang w:val="fr-FR" w:eastAsia="fr-FR" w:bidi="ar-SA"/>
              </w:rPr>
              <w:drawing>
                <wp:inline distT="0" distB="0" distL="0" distR="0">
                  <wp:extent cx="2678400" cy="2008800"/>
                  <wp:effectExtent l="0" t="0" r="8255" b="0"/>
                  <wp:docPr id="10" name="Image 10" descr="C:\Users\florent\SGPlo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orent\SGPlot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8400" cy="2008800"/>
                          </a:xfrm>
                          <a:prstGeom prst="rect">
                            <a:avLst/>
                          </a:prstGeom>
                          <a:noFill/>
                          <a:ln>
                            <a:noFill/>
                          </a:ln>
                        </pic:spPr>
                      </pic:pic>
                    </a:graphicData>
                  </a:graphic>
                </wp:inline>
              </w:drawing>
            </w:r>
          </w:p>
        </w:tc>
        <w:tc>
          <w:tcPr>
            <w:tcW w:w="4417" w:type="dxa"/>
            <w:shd w:val="clear" w:color="auto" w:fill="auto"/>
          </w:tcPr>
          <w:p w:rsidR="00767BEB" w:rsidRPr="00D836A2" w:rsidRDefault="00767BEB" w:rsidP="00767BEB">
            <w:pPr>
              <w:pStyle w:val="MDPI52figure"/>
            </w:pPr>
            <w:r w:rsidRPr="00D836A2">
              <w:t xml:space="preserve">D) </w:t>
            </w:r>
            <w:r w:rsidRPr="00D836A2">
              <w:rPr>
                <w:vertAlign w:val="superscript"/>
              </w:rPr>
              <w:t>4</w:t>
            </w:r>
          </w:p>
          <w:p w:rsidR="00767BEB" w:rsidRPr="00D836A2" w:rsidRDefault="00B4769A" w:rsidP="00767BEB">
            <w:pPr>
              <w:pStyle w:val="MDPI52figure"/>
            </w:pPr>
            <w:r>
              <w:rPr>
                <w:noProof/>
                <w:lang w:val="fr-FR" w:eastAsia="fr-FR" w:bidi="ar-SA"/>
              </w:rPr>
              <w:drawing>
                <wp:inline distT="0" distB="0" distL="0" distR="0">
                  <wp:extent cx="2678400" cy="2008800"/>
                  <wp:effectExtent l="0" t="0" r="8255" b="0"/>
                  <wp:docPr id="11" name="Image 11" descr="C:\Users\florent\SGPlo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lorent\SGPlot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8400" cy="2008800"/>
                          </a:xfrm>
                          <a:prstGeom prst="rect">
                            <a:avLst/>
                          </a:prstGeom>
                          <a:noFill/>
                          <a:ln>
                            <a:noFill/>
                          </a:ln>
                        </pic:spPr>
                      </pic:pic>
                    </a:graphicData>
                  </a:graphic>
                </wp:inline>
              </w:drawing>
            </w:r>
          </w:p>
        </w:tc>
      </w:tr>
    </w:tbl>
    <w:p w:rsidR="00767BEB" w:rsidRPr="00D836A2" w:rsidRDefault="00767BEB" w:rsidP="005D10D8">
      <w:pPr>
        <w:pStyle w:val="MDPI51figurecaption"/>
        <w:rPr>
          <w:lang w:eastAsia="fr-FR"/>
        </w:rPr>
      </w:pPr>
      <w:r w:rsidRPr="00D836A2">
        <w:rPr>
          <w:b/>
        </w:rPr>
        <w:t xml:space="preserve">Figure </w:t>
      </w:r>
      <w:r w:rsidR="009940D2">
        <w:rPr>
          <w:b/>
        </w:rPr>
        <w:t>4</w:t>
      </w:r>
      <w:r w:rsidRPr="00D836A2">
        <w:rPr>
          <w:b/>
        </w:rPr>
        <w:t xml:space="preserve">. </w:t>
      </w:r>
      <w:r w:rsidRPr="00D836A2">
        <w:t xml:space="preserve">Nutritional </w:t>
      </w:r>
      <w:r w:rsidR="007824B6" w:rsidRPr="00D836A2">
        <w:t>q</w:t>
      </w:r>
      <w:r w:rsidRPr="00D836A2">
        <w:t xml:space="preserve">uality of </w:t>
      </w:r>
      <w:r w:rsidR="007824B6" w:rsidRPr="00D836A2">
        <w:t>s</w:t>
      </w:r>
      <w:r w:rsidRPr="00D836A2">
        <w:t xml:space="preserve">imulated </w:t>
      </w:r>
      <w:r w:rsidR="007824B6" w:rsidRPr="00D836A2">
        <w:t>s</w:t>
      </w:r>
      <w:r w:rsidRPr="00D836A2">
        <w:t xml:space="preserve">eries </w:t>
      </w:r>
      <w:r w:rsidR="007824B6" w:rsidRPr="00D836A2">
        <w:t>a</w:t>
      </w:r>
      <w:r w:rsidRPr="00D836A2">
        <w:t xml:space="preserve">ccording to </w:t>
      </w:r>
      <w:r w:rsidR="007824B6" w:rsidRPr="00D836A2">
        <w:t>f</w:t>
      </w:r>
      <w:r w:rsidRPr="00D836A2">
        <w:t xml:space="preserve">ive </w:t>
      </w:r>
      <w:r w:rsidR="007824B6" w:rsidRPr="00D836A2">
        <w:t>s</w:t>
      </w:r>
      <w:r w:rsidRPr="00D836A2">
        <w:t>cenarios: Box Plots 3A) Mean Adequacy Ratio (MAR, % of adequacy for 2000 kcal), 3B) Fats (% of energy), 3C) Saturated Fatty Acids (SFAs, in % of energy), 3D) Free Sugars (% of energy).</w:t>
      </w:r>
      <w:r w:rsidR="005D10D8" w:rsidRPr="00D836A2">
        <w:rPr>
          <w:vertAlign w:val="superscript"/>
        </w:rPr>
        <w:t>1</w:t>
      </w:r>
      <w:r w:rsidR="00AF4666">
        <w:t xml:space="preserve"> F</w:t>
      </w:r>
      <w:r w:rsidR="005D10D8" w:rsidRPr="00D836A2">
        <w:t>or MAR/2000</w:t>
      </w:r>
      <w:r w:rsidR="00AF4666">
        <w:t xml:space="preserve"> </w:t>
      </w:r>
      <w:r w:rsidR="005D10D8" w:rsidRPr="00D836A2">
        <w:t>kcal, the averages are statistically different (p&lt;0.05) from one series to another</w:t>
      </w:r>
      <w:r w:rsidR="00435AD1">
        <w:t>.</w:t>
      </w:r>
      <w:r w:rsidR="005D10D8" w:rsidRPr="00D836A2">
        <w:rPr>
          <w:vertAlign w:val="superscript"/>
        </w:rPr>
        <w:t>2</w:t>
      </w:r>
      <w:r w:rsidR="005D10D8" w:rsidRPr="00D836A2">
        <w:t xml:space="preserve"> For fats (% of energy), the averages are statistically different (p&lt;0.05) from one series to another, except between “Zero Compliance with </w:t>
      </w:r>
      <w:r w:rsidR="00D856BE" w:rsidRPr="00D836A2">
        <w:t>FC</w:t>
      </w:r>
      <w:r w:rsidR="005D10D8" w:rsidRPr="00D836A2">
        <w:t>” and “Replacement of Meat and Fish with Other Dishes.”</w:t>
      </w:r>
      <w:r w:rsidR="005D10D8" w:rsidRPr="00D836A2">
        <w:rPr>
          <w:vertAlign w:val="superscript"/>
        </w:rPr>
        <w:t>3</w:t>
      </w:r>
      <w:r w:rsidR="00AF4666">
        <w:t xml:space="preserve"> F</w:t>
      </w:r>
      <w:r w:rsidR="005D10D8" w:rsidRPr="00D836A2">
        <w:t>or SFAs (% of energy), the averages are statistically different from one series to another (p&lt;0.05)</w:t>
      </w:r>
      <w:r w:rsidR="00435AD1">
        <w:t>.</w:t>
      </w:r>
      <w:r w:rsidR="005D10D8" w:rsidRPr="00D836A2">
        <w:rPr>
          <w:vertAlign w:val="superscript"/>
        </w:rPr>
        <w:t>4</w:t>
      </w:r>
      <w:r w:rsidR="00AF4666">
        <w:t xml:space="preserve"> F</w:t>
      </w:r>
      <w:r w:rsidR="005D10D8" w:rsidRPr="00D836A2">
        <w:t xml:space="preserve">or free sugars (% of energy), the averages are statistically different (p&lt;0.05) from one series to another except between “Complete Compliance with </w:t>
      </w:r>
      <w:r w:rsidR="00D856BE" w:rsidRPr="00D836A2">
        <w:t>FC</w:t>
      </w:r>
      <w:r w:rsidR="005D10D8" w:rsidRPr="00D836A2">
        <w:t>” and “Compliance with Observed Series</w:t>
      </w:r>
      <w:r w:rsidR="00AF4666">
        <w:t>,</w:t>
      </w:r>
      <w:r w:rsidR="005D10D8" w:rsidRPr="00D836A2">
        <w:t xml:space="preserve">” and between “Complete Compliance with </w:t>
      </w:r>
      <w:r w:rsidR="00D856BE" w:rsidRPr="00D836A2">
        <w:t>FC</w:t>
      </w:r>
      <w:r w:rsidR="005D10D8" w:rsidRPr="00D836A2">
        <w:t>” and “Replacement of Meat and Fish with Other Dishes.”</w:t>
      </w:r>
    </w:p>
    <w:p w:rsidR="00D43FA0" w:rsidRPr="00D836A2" w:rsidRDefault="00D43FA0" w:rsidP="005D10D8">
      <w:pPr>
        <w:pStyle w:val="MDPI31text"/>
      </w:pPr>
      <w:r w:rsidRPr="00D836A2">
        <w:t xml:space="preserve">In addition, in </w:t>
      </w:r>
      <w:r w:rsidR="00264D4F" w:rsidRPr="00D836A2">
        <w:t xml:space="preserve">the </w:t>
      </w:r>
      <w:r w:rsidRPr="00D836A2">
        <w:t xml:space="preserve">“Complete Compliance with </w:t>
      </w:r>
      <w:r w:rsidR="00264D4F" w:rsidRPr="00D836A2">
        <w:t>FC</w:t>
      </w:r>
      <w:r w:rsidRPr="00D836A2">
        <w:t xml:space="preserve">” series, the standard deviation of the MAR/2000 kcal was significantly lower than in the other series, suggesting that compliance with </w:t>
      </w:r>
      <w:r w:rsidR="000A6F0E" w:rsidRPr="00D836A2">
        <w:t>FC</w:t>
      </w:r>
      <w:r w:rsidRPr="00D836A2">
        <w:t xml:space="preserve"> can prevent the </w:t>
      </w:r>
      <w:r w:rsidR="000A6F0E" w:rsidRPr="00D836A2">
        <w:t>occur</w:t>
      </w:r>
      <w:r w:rsidR="00435AD1">
        <w:t>r</w:t>
      </w:r>
      <w:r w:rsidR="000A6F0E" w:rsidRPr="00D836A2">
        <w:t xml:space="preserve">ence </w:t>
      </w:r>
      <w:r w:rsidRPr="00D836A2">
        <w:t>of series with low MAR/2000 kcal values.</w:t>
      </w:r>
    </w:p>
    <w:p w:rsidR="00D43FA0" w:rsidRPr="00D836A2" w:rsidRDefault="00D43FA0" w:rsidP="005D10D8">
      <w:pPr>
        <w:pStyle w:val="MDPI31text"/>
      </w:pPr>
      <w:r w:rsidRPr="00D836A2">
        <w:t xml:space="preserve">The “Zero Compliance with </w:t>
      </w:r>
      <w:r w:rsidR="00264D4F" w:rsidRPr="00D836A2">
        <w:t>FC</w:t>
      </w:r>
      <w:r w:rsidRPr="00D836A2">
        <w:t xml:space="preserve">” series had lower nutritional quality (lower MAR/2000 kcal, plus high energy contribution from fats, SFAs and free sugars) than </w:t>
      </w:r>
      <w:r w:rsidR="00C337F0" w:rsidRPr="00D836A2">
        <w:t xml:space="preserve">in </w:t>
      </w:r>
      <w:r w:rsidRPr="00D836A2">
        <w:t xml:space="preserve">the “Complete Compliance with </w:t>
      </w:r>
      <w:r w:rsidR="00264D4F" w:rsidRPr="00D836A2">
        <w:t>FC</w:t>
      </w:r>
      <w:r w:rsidRPr="00D836A2">
        <w:t xml:space="preserve">” and “Compliance with Observed Series” </w:t>
      </w:r>
      <w:r w:rsidR="00C337F0" w:rsidRPr="00D836A2">
        <w:t>scenario</w:t>
      </w:r>
      <w:r w:rsidRPr="00D836A2">
        <w:t xml:space="preserve">. </w:t>
      </w:r>
    </w:p>
    <w:p w:rsidR="00D43FA0" w:rsidRPr="00D836A2" w:rsidRDefault="00D43FA0" w:rsidP="005D10D8">
      <w:pPr>
        <w:pStyle w:val="MDPI31text"/>
      </w:pPr>
      <w:r w:rsidRPr="00D836A2">
        <w:t xml:space="preserve">In the “Removal of the Protein Dish with No Replacement” series, the energy contribution from fats and SFAs was lower than in the other </w:t>
      </w:r>
      <w:r w:rsidR="006757CA">
        <w:t>simulated</w:t>
      </w:r>
      <w:r w:rsidR="006757CA" w:rsidRPr="00D836A2">
        <w:t xml:space="preserve"> </w:t>
      </w:r>
      <w:r w:rsidRPr="00D836A2">
        <w:t>series, the MAR/2000 kcal was significantly lower, and the energy contribution from free sugars was higher.</w:t>
      </w:r>
    </w:p>
    <w:p w:rsidR="002C5B09" w:rsidRPr="00D836A2" w:rsidRDefault="00D43FA0" w:rsidP="005D10D8">
      <w:pPr>
        <w:pStyle w:val="MDPI31text"/>
      </w:pPr>
      <w:r w:rsidRPr="00D836A2">
        <w:t xml:space="preserve">The “Replacement of Meat and Fish with Other Dishes” series were </w:t>
      </w:r>
      <w:r w:rsidR="00435AD1">
        <w:t>those</w:t>
      </w:r>
      <w:r w:rsidRPr="00D836A2">
        <w:t xml:space="preserve"> in which the energy contribution from SFAs was highest, as was the contribution from fats, which was as high as in the “Zero Compliance with </w:t>
      </w:r>
      <w:r w:rsidR="00264D4F" w:rsidRPr="00D836A2">
        <w:t>FC</w:t>
      </w:r>
      <w:r w:rsidRPr="00D836A2">
        <w:t xml:space="preserve">” series. The contribution from free sugars was not different from that of the “Complete Compliance with </w:t>
      </w:r>
      <w:r w:rsidR="00264D4F" w:rsidRPr="00D836A2">
        <w:t>FC</w:t>
      </w:r>
      <w:r w:rsidRPr="00D836A2">
        <w:t xml:space="preserve">” series. The MAR/2000 kcal was higher than that of the </w:t>
      </w:r>
      <w:r w:rsidRPr="00D836A2">
        <w:lastRenderedPageBreak/>
        <w:t xml:space="preserve">“Removal of the Protein Dish with No Replacement” series, but it was lower than the MAR/2000 kcal of the other three simulated series, including the “Zero Compliance with </w:t>
      </w:r>
      <w:r w:rsidR="00264D4F" w:rsidRPr="00D836A2">
        <w:t>FC</w:t>
      </w:r>
      <w:r w:rsidRPr="00D836A2">
        <w:t>” series.</w:t>
      </w:r>
    </w:p>
    <w:p w:rsidR="00885BB0" w:rsidRPr="00D836A2" w:rsidRDefault="00885BB0" w:rsidP="005D10D8">
      <w:pPr>
        <w:pStyle w:val="MDPI21heading1"/>
      </w:pPr>
      <w:r w:rsidRPr="00D836A2">
        <w:t>4. Discussion</w:t>
      </w:r>
    </w:p>
    <w:p w:rsidR="009F289B" w:rsidRDefault="003E52C8" w:rsidP="005D10D8">
      <w:pPr>
        <w:pStyle w:val="MDPI31text"/>
      </w:pPr>
      <w:r w:rsidRPr="00D836A2">
        <w:t xml:space="preserve">This study is the first one to clearly demonstrate the nutritional interest of the French </w:t>
      </w:r>
      <w:r w:rsidR="00E0205F">
        <w:t xml:space="preserve">school food </w:t>
      </w:r>
      <w:r w:rsidRPr="00D836A2">
        <w:t xml:space="preserve">guidelines. In addition, </w:t>
      </w:r>
      <w:r w:rsidRPr="00D836A2">
        <w:rPr>
          <w:lang w:eastAsia="fr-FR"/>
        </w:rPr>
        <w:t>it shows that</w:t>
      </w:r>
      <w:r w:rsidR="00047692" w:rsidRPr="00DA6288">
        <w:rPr>
          <w:color w:val="FF0000"/>
          <w:lang w:eastAsia="fr-FR"/>
        </w:rPr>
        <w:t xml:space="preserve"> </w:t>
      </w:r>
      <w:r w:rsidR="00376C3B" w:rsidRPr="004C2008">
        <w:rPr>
          <w:color w:val="auto"/>
          <w:lang w:eastAsia="fr-FR"/>
        </w:rPr>
        <w:t>generalizing the service of meals without meat or fish would deteriorate the nutritional quality of school food service, advocating for a precise definition of the place of vegetarian dishes in school meals.</w:t>
      </w:r>
      <w:r w:rsidR="00376C3B" w:rsidRPr="004C2008">
        <w:rPr>
          <w:color w:val="auto"/>
        </w:rPr>
        <w:t xml:space="preserve"> </w:t>
      </w:r>
    </w:p>
    <w:p w:rsidR="00D43FA0" w:rsidRPr="00D836A2" w:rsidRDefault="00D43FA0" w:rsidP="005D10D8">
      <w:pPr>
        <w:pStyle w:val="MDPI31text"/>
      </w:pPr>
      <w:r w:rsidRPr="00D836A2">
        <w:t xml:space="preserve">The observational part of the study was done on a sample of 40 series of 20 meals served in primary schools. The nutritional analysis of “observed” series revealed that they had good nutritional density because they provided proportionately more of the nutrients to favor (49.3% of recommendations) than calories (35.6% of daily recommendations). When nutrients were estimated separately, only alpha-linolenic acid and vitamin D were present in low quantities compared to recommendations. Yet, these nutrients are known for being largely deficient in French diets, for both children and adults </w:t>
      </w:r>
      <w:r w:rsidR="00FF17D2">
        <w:fldChar w:fldCharType="begin"/>
      </w:r>
      <w:r w:rsidR="006C5B2D">
        <w:instrText xml:space="preserve"> ADDIN REFMGR.CITE &lt;Refman&gt;&lt;Cite&gt;&lt;Author&gt;Lafay&lt;/Author&gt;&lt;Year&gt;2007&lt;/Year&gt;&lt;RecNum&gt;3917&lt;/RecNum&gt;&lt;IDText&gt;Etude Individuelle et Nationale sur les Consommations Alimentaires, INCA 2 (2006-2007)&lt;/IDText&gt;&lt;MDL Ref_Type="Book, Whole"&gt;&lt;Ref_Type&gt;Book, Whole&lt;/Ref_Type&gt;&lt;Ref_ID&gt;3917&lt;/Ref_ID&gt;&lt;Title_Primary&gt;Etude Individuelle et Nationale sur les Consommations Alimentaires, INCA 2 (2006-2007)&lt;/Title_Primary&gt;&lt;Authors_Primary&gt;Lafay,L.&lt;/Authors_Primary&gt;&lt;Date_Primary&gt;2007&lt;/Date_Primary&gt;&lt;Keywords&gt;De&lt;/Keywords&gt;&lt;Keywords&gt;Et&lt;/Keywords&gt;&lt;Reprint&gt;Not in File&lt;/Reprint&gt;&lt;End_Page&gt;158p&lt;/End_Page&gt;&lt;Authors_Secondary&gt;AFSSA,Agence Fran&amp;#xE7;aise de S&amp;#xE9;curit&amp;#xE9; Sanitaire des Aliments&lt;/Authors_Secondary&gt;&lt;Pub_Place&gt;Paris&lt;/Pub_Place&gt;&lt;Publisher&gt;http://www.afssa.fr/Documents/PASER-Ra-INCA2.pdf&lt;/Publisher&gt;&lt;ZZ_WorkformID&gt;2&lt;/ZZ_WorkformID&gt;&lt;/MDL&gt;&lt;/Cite&gt;&lt;/Refman&gt;</w:instrText>
      </w:r>
      <w:r w:rsidR="00FF17D2">
        <w:fldChar w:fldCharType="separate"/>
      </w:r>
      <w:r w:rsidR="006C5B2D">
        <w:t>[29]</w:t>
      </w:r>
      <w:r w:rsidR="00FF17D2">
        <w:fldChar w:fldCharType="end"/>
      </w:r>
      <w:r w:rsidRPr="00D836A2">
        <w:t xml:space="preserve">, indicating that this is not a deficit specific to school food. In France, one school child out of three is deficient in vitamin D, advocating for systematic winter supplementation of this vitamin </w:t>
      </w:r>
      <w:r w:rsidR="00FF17D2">
        <w:fldChar w:fldCharType="begin"/>
      </w:r>
      <w:r w:rsidR="006C5B2D">
        <w:instrText xml:space="preserve"> ADDIN REFMGR.CITE &lt;Refman&gt;&lt;Cite&gt;&lt;Author&gt;Mallet&lt;/Author&gt;&lt;Year&gt;2014&lt;/Year&gt;&lt;RecNum&gt;5121&lt;/RecNum&gt;&lt;IDText&gt;[Vitamin D status in 6- to 10-year-old children: a French multicenter study in 326 children]&lt;/IDText&gt;&lt;MDL Ref_Type="Journal"&gt;&lt;Ref_Type&gt;Journal&lt;/Ref_Type&gt;&lt;Ref_ID&gt;5121&lt;/Ref_ID&gt;&lt;Title_Primary&gt;[Vitamin D status in 6- to 10-year-old children: a French multicenter study in 326 children]&lt;/Title_Primary&gt;&lt;Authors_Primary&gt;Mallet,E.&lt;/Authors_Primary&gt;&lt;Authors_Primary&gt;Gaudelus,J.&lt;/Authors_Primary&gt;&lt;Authors_Primary&gt;Reinert,P.&lt;/Authors_Primary&gt;&lt;Authors_Primary&gt;Stagnara,J.&lt;/Authors_Primary&gt;&lt;Authors_Primary&gt;Benichou,J.&lt;/Authors_Primary&gt;&lt;Authors_Primary&gt;Basuyau,J.P.&lt;/Authors_Primary&gt;&lt;Authors_Primary&gt;Maurin,M.&lt;/Authors_Primary&gt;&lt;Authors_Primary&gt;Cordero,J.&lt;/Authors_Primary&gt;&lt;Authors_Primary&gt;Roden,A.&lt;/Authors_Primary&gt;&lt;Authors_Primary&gt;Uhlrich,J.&lt;/Authors_Primary&gt;&lt;Date_Primary&gt;2014/10&lt;/Date_Primary&gt;&lt;Keywords&gt;administration &amp;amp; dosage&lt;/Keywords&gt;&lt;Keywords&gt;age&lt;/Keywords&gt;&lt;Keywords&gt;Aged&lt;/Keywords&gt;&lt;Keywords&gt;Ambulatory Care&lt;/Keywords&gt;&lt;Keywords&gt;An&lt;/Keywords&gt;&lt;Keywords&gt;blood&lt;/Keywords&gt;&lt;Keywords&gt;calcium&lt;/Keywords&gt;&lt;Keywords&gt;Calcium,Dietary&lt;/Keywords&gt;&lt;Keywords&gt;Child&lt;/Keywords&gt;&lt;Keywords&gt;children&lt;/Keywords&gt;&lt;Keywords&gt;Dairy Products&lt;/Keywords&gt;&lt;Keywords&gt;De&lt;/Keywords&gt;&lt;Keywords&gt;deficiency&lt;/Keywords&gt;&lt;Keywords&gt;diagnosis&lt;/Keywords&gt;&lt;Keywords&gt;DIETARY&lt;/Keywords&gt;&lt;Keywords&gt;Du&lt;/Keywords&gt;&lt;Keywords&gt;English Abstract&lt;/Keywords&gt;&lt;Keywords&gt;epidemiology&lt;/Keywords&gt;&lt;Keywords&gt;Et&lt;/Keywords&gt;&lt;Keywords&gt;Female&lt;/Keywords&gt;&lt;Keywords&gt;France&lt;/Keywords&gt;&lt;Keywords&gt;Guidelines&lt;/Keywords&gt;&lt;Keywords&gt;Humans&lt;/Keywords&gt;&lt;Keywords&gt;Im&lt;/Keywords&gt;&lt;Keywords&gt;Intake&lt;/Keywords&gt;&lt;Keywords&gt;Is&lt;/Keywords&gt;&lt;Keywords&gt;level&lt;/Keywords&gt;&lt;Keywords&gt;Male&lt;/Keywords&gt;&lt;Keywords&gt;Milk&lt;/Keywords&gt;&lt;Keywords&gt;Multicenter Studies&lt;/Keywords&gt;&lt;Keywords&gt;Paris&lt;/Keywords&gt;&lt;Keywords&gt;population&lt;/Keywords&gt;&lt;Keywords&gt;questionnaire&lt;/Keywords&gt;&lt;Keywords&gt;Research&lt;/Keywords&gt;&lt;Keywords&gt;Risk&lt;/Keywords&gt;&lt;Keywords&gt;sample&lt;/Keywords&gt;&lt;Keywords&gt;Seasons&lt;/Keywords&gt;&lt;Keywords&gt;serum&lt;/Keywords&gt;&lt;Keywords&gt;Sunlight&lt;/Keywords&gt;&lt;Keywords&gt;To&lt;/Keywords&gt;&lt;Keywords&gt;vitamin&lt;/Keywords&gt;&lt;Keywords&gt;Vitamin D&lt;/Keywords&gt;&lt;Keywords&gt;Vitamin D Deficiency&lt;/Keywords&gt;&lt;Keywords&gt;Vitamins&lt;/Keywords&gt;&lt;Reprint&gt;Not in File&lt;/Reprint&gt;&lt;Start_Page&gt;1106&lt;/Start_Page&gt;&lt;End_Page&gt;1114&lt;/End_Page&gt;&lt;Periodical&gt;Arch.Pediatr.&lt;/Periodical&gt;&lt;Volume&gt;21&lt;/Volume&gt;&lt;Issue&gt;10&lt;/Issue&gt;&lt;Address&gt;Centre de reference des maladies rares du calcium et du phosphore, CIC Inserm 204 antenne pediatrique, CHU de Rouen, 1, rue de Germont, 76000 Rouen, France. Electronic address: eric.mallet@chu-rouen.fr&amp;#xA;CHU Jean-Verdier, 93140 Bondy, France&amp;#xA;Hopital intercommunal, 94000 Creteil, France&amp;#xA;CIC Inserm 201, EPICIME, RIPPS, CHU, 69500 Lyon, France&amp;#xA;Unite de biostatistique, Inserm U 657, CHU de Rouen, 76000 Rouen, France&amp;#xA;Laboratoire de biochimie, CRLCC Henri-Becquerel, 76000 Rouen, France&amp;#xA;GECEM, 92120 Montrouge, France&amp;#xA;Laboratoire Rottapharm, 75013 Paris, France&amp;#xA;Departement medical, laboratoire Novartis Sante Familiale, 92500 Rueil-Malmaison, France&amp;#xA;Departement medical, laboratoire Novartis Sante Familiale, 92500 Rueil-Malmaison, France&lt;/Address&gt;&lt;Web_URL&gt;PM:25028285&lt;/Web_URL&gt;&lt;ZZ_JournalStdAbbrev&gt;&lt;f name="System"&gt;Arch.Pediatr.&lt;/f&gt;&lt;/ZZ_JournalStdAbbrev&gt;&lt;ZZ_WorkformID&gt;1&lt;/ZZ_WorkformID&gt;&lt;/MDL&gt;&lt;/Cite&gt;&lt;/Refman&gt;</w:instrText>
      </w:r>
      <w:r w:rsidR="00FF17D2">
        <w:fldChar w:fldCharType="separate"/>
      </w:r>
      <w:r w:rsidR="006C5B2D">
        <w:t>[32]</w:t>
      </w:r>
      <w:r w:rsidR="00FF17D2">
        <w:fldChar w:fldCharType="end"/>
      </w:r>
      <w:r w:rsidRPr="00D836A2">
        <w:t xml:space="preserve">. When it comes to alpha-linolenic acid, the GEM-RCN document recommends using mixtures of oils with high alpha-linolenic acid content </w:t>
      </w:r>
      <w:r w:rsidR="00FF17D2">
        <w:fldChar w:fldCharType="begin"/>
      </w:r>
      <w:r w:rsidR="006C5B2D">
        <w:instrText xml:space="preserve"> ADDIN REFMGR.CITE &lt;Refman&gt;&lt;Cite&gt;&lt;Author&gt;Minist&amp;#xE8;re de l&amp;apos;Economie&lt;/Author&gt;&lt;Year&gt;2007&lt;/Year&gt;&lt;RecNum&gt;3327&lt;/RecNum&gt;&lt;IDText&gt;Recommandation relative &amp;#xE0; la nutrition&lt;/IDText&gt;&lt;MDL Ref_Type="Journal"&gt;&lt;Ref_Type&gt;Journal&lt;/Ref_Type&gt;&lt;Ref_ID&gt;3327&lt;/Ref_ID&gt;&lt;Title_Primary&gt;Recommandation relative &amp;#xE0; la nutrition&lt;/Title_Primary&gt;&lt;Authors_Primary&gt;Minist&amp;#xE8;re de l&amp;apos;Economie&lt;/Authors_Primary&gt;&lt;Authors_Primary&gt;Groupe d&amp;apos;Etude March&amp;#xE9;s Restauration collective et Nutrition (GEM-RCN)&lt;/Authors_Primary&gt;&lt;Date_Primary&gt;2007&lt;/Date_Primary&gt;&lt;Keywords&gt;De&lt;/Keywords&gt;&lt;Keywords&gt;Du&lt;/Keywords&gt;&lt;Keywords&gt;Et&lt;/Keywords&gt;&lt;Keywords&gt;Nutrition&lt;/Keywords&gt;&lt;Reprint&gt;Not in File&lt;/Reprint&gt;&lt;Periodical&gt;n&amp;#xB0;J5-07 du 4 Mai 2007&lt;/Periodical&gt;&lt;ZZ_JournalFull&gt;&lt;f name="System"&gt;n&amp;#xB0;J5-07 du 4 Mai 2007&lt;/f&gt;&lt;/ZZ_JournalFull&gt;&lt;ZZ_WorkformID&gt;1&lt;/ZZ_WorkformID&gt;&lt;/MDL&gt;&lt;/Cite&gt;&lt;/Refman&gt;</w:instrText>
      </w:r>
      <w:r w:rsidR="00FF17D2">
        <w:fldChar w:fldCharType="separate"/>
      </w:r>
      <w:r w:rsidR="006C5B2D">
        <w:t>[11]</w:t>
      </w:r>
      <w:r w:rsidR="00FF17D2">
        <w:fldChar w:fldCharType="end"/>
      </w:r>
      <w:r w:rsidR="00E0205F">
        <w:t>.</w:t>
      </w:r>
    </w:p>
    <w:p w:rsidR="00D43FA0" w:rsidRPr="00D836A2" w:rsidRDefault="00D43FA0" w:rsidP="005D10D8">
      <w:pPr>
        <w:pStyle w:val="MDPI31text"/>
      </w:pPr>
      <w:r w:rsidRPr="00D836A2">
        <w:t xml:space="preserve">The analysis of the relationship between </w:t>
      </w:r>
      <w:r w:rsidR="009F289B">
        <w:t xml:space="preserve">FC </w:t>
      </w:r>
      <w:r w:rsidRPr="00D836A2">
        <w:t xml:space="preserve">compliance </w:t>
      </w:r>
      <w:r w:rsidR="009F289B">
        <w:t xml:space="preserve">level </w:t>
      </w:r>
      <w:r w:rsidRPr="00D836A2">
        <w:t xml:space="preserve">and nutritional quality </w:t>
      </w:r>
      <w:r w:rsidR="00A06112">
        <w:t>required</w:t>
      </w:r>
      <w:r w:rsidR="00A06112" w:rsidRPr="00D836A2">
        <w:t xml:space="preserve"> </w:t>
      </w:r>
      <w:r w:rsidRPr="00D836A2">
        <w:t xml:space="preserve">recourse to simulations. Indeed, it could not be done with the sample of observed series because of their relatively small number (n=40) and because of the absence, in this sample, of series complying with all criteria and series not complying at all. The generation of a very large number of series close to what was observed (“Compliance with Observed Series”) showed that nutritional quality, estimated by the MAR/2000 kcal, increased with </w:t>
      </w:r>
      <w:r w:rsidR="009F289B">
        <w:t>FC compliance</w:t>
      </w:r>
      <w:r w:rsidR="009F289B" w:rsidRPr="00D836A2">
        <w:t xml:space="preserve"> </w:t>
      </w:r>
      <w:r w:rsidRPr="00D836A2">
        <w:t xml:space="preserve">level. In addition, the series simulated to comply with all 15 </w:t>
      </w:r>
      <w:r w:rsidR="005F36E7" w:rsidRPr="00D836A2">
        <w:t>FC</w:t>
      </w:r>
      <w:r w:rsidRPr="00D836A2">
        <w:t xml:space="preserve"> (“Complete Compliance with </w:t>
      </w:r>
      <w:r w:rsidR="00264D4F" w:rsidRPr="00D836A2">
        <w:t>FC</w:t>
      </w:r>
      <w:r w:rsidRPr="00D836A2">
        <w:t>”) were nutritionally superior to all other series, notably the series close to what was observed (“Compliance with Observed Series”)</w:t>
      </w:r>
      <w:r w:rsidR="00A06112">
        <w:t>.</w:t>
      </w:r>
      <w:r w:rsidRPr="00D836A2">
        <w:t xml:space="preserve"> </w:t>
      </w:r>
      <w:r w:rsidR="00A06112">
        <w:t>Complete compliance</w:t>
      </w:r>
      <w:r w:rsidR="00A06112" w:rsidRPr="00D836A2">
        <w:t xml:space="preserve"> </w:t>
      </w:r>
      <w:r w:rsidRPr="00D836A2">
        <w:t>can</w:t>
      </w:r>
      <w:r w:rsidR="00A06112">
        <w:t xml:space="preserve"> therefore</w:t>
      </w:r>
      <w:r w:rsidRPr="00D836A2">
        <w:t xml:space="preserve"> prevent the occurrence of series of mediocre nutritional quality. In the present study, observed compliance was also partial, with only 9.7 out of the 15 </w:t>
      </w:r>
      <w:r w:rsidR="00264D4F" w:rsidRPr="00D836A2">
        <w:t xml:space="preserve">frequency </w:t>
      </w:r>
      <w:r w:rsidRPr="00D836A2">
        <w:t xml:space="preserve">criteria followed on average in the sample of observed series. Yet, one can assume that, compared to all school food in France, compliance with </w:t>
      </w:r>
      <w:r w:rsidR="00AC2B31" w:rsidRPr="00D836A2">
        <w:t xml:space="preserve">frequency </w:t>
      </w:r>
      <w:r w:rsidRPr="00D836A2">
        <w:t xml:space="preserve">criteria was over-estimated in this sample because it was collected on a voluntary basis. This result seems to agree with studies done in other countries such as Australia </w:t>
      </w:r>
      <w:r w:rsidR="00FF17D2">
        <w:fldChar w:fldCharType="begin"/>
      </w:r>
      <w:r w:rsidR="006C5B2D">
        <w:instrText xml:space="preserve"> ADDIN REFMGR.CITE &lt;Refman&gt;&lt;Cite&gt;&lt;Author&gt;Ardzejewska&lt;/Author&gt;&lt;Year&gt;2012&lt;/Year&gt;&lt;RecNum&gt;5131&lt;/RecNum&gt;&lt;IDText&gt;A descriptive study on the barriers and facilitators to implementation of the NSW (Australia) Healthy School Canteen Strategy&lt;/IDText&gt;&lt;MDL Ref_Type="Journal"&gt;&lt;Ref_Type&gt;Journal&lt;/Ref_Type&gt;&lt;Ref_ID&gt;5131&lt;/Ref_ID&gt;&lt;Title_Primary&gt;A descriptive study on the barriers and facilitators to implementation of the NSW (Australia) Healthy School Canteen Strategy&lt;/Title_Primary&gt;&lt;Authors_Primary&gt;Ardzejewska,K.&lt;/Authors_Primary&gt;&lt;Authors_Primary&gt;Tadros,R.&lt;/Authors_Primary&gt;&lt;Authors_Primary&gt;Baxter,D.&lt;/Authors_Primary&gt;&lt;Date_Primary&gt;2012&lt;/Date_Primary&gt;&lt;Keywords&gt;Australia&lt;/Keywords&gt;&lt;Keywords&gt;To&lt;/Keywords&gt;&lt;Reprint&gt;Not in File&lt;/Reprint&gt;&lt;Start_Page&gt;136&lt;/Start_Page&gt;&lt;End_Page&gt;145&lt;/End_Page&gt;&lt;Periodical&gt;Health Education Journal&lt;/Periodical&gt;&lt;Volume&gt;72&lt;/Volume&gt;&lt;Issue&gt;2&lt;/Issue&gt;&lt;Web_URL_Link1&gt;&lt;u&gt;file://C:\Users\Darmon\Documents\MS nutrition\C I V cantines\biblio resto collective\barriers and facilitators Directives resto scolaire ardzejewska2012.pdf&lt;/u&gt;&lt;/Web_URL_Link1&gt;&lt;ZZ_JournalFull&gt;&lt;f name="System"&gt;Health Education Journal&lt;/f&gt;&lt;/ZZ_JournalFull&gt;&lt;ZZ_WorkformID&gt;1&lt;/ZZ_WorkformID&gt;&lt;/MDL&gt;&lt;/Cite&gt;&lt;/Refman&gt;</w:instrText>
      </w:r>
      <w:r w:rsidR="00FF17D2">
        <w:fldChar w:fldCharType="separate"/>
      </w:r>
      <w:r w:rsidR="006C5B2D">
        <w:t>[33]</w:t>
      </w:r>
      <w:r w:rsidR="00FF17D2">
        <w:fldChar w:fldCharType="end"/>
      </w:r>
      <w:r w:rsidRPr="00D836A2">
        <w:t xml:space="preserve">, the United Kingdom </w:t>
      </w:r>
      <w:r w:rsidR="00FF17D2">
        <w:fldChar w:fldCharType="begin"/>
      </w:r>
      <w:r w:rsidR="006C5B2D">
        <w:instrText xml:space="preserve"> ADDIN REFMGR.CITE &lt;Refman&gt;&lt;Cite&gt;&lt;Author&gt;Dimbleby&lt;/Author&gt;&lt;Year&gt;2013&lt;/Year&gt;&lt;RecNum&gt;5135&lt;/RecNum&gt;&lt;IDText&gt;The School Food Plan&lt;/IDText&gt;&lt;MDL Ref_Type="Journal"&gt;&lt;Ref_Type&gt;Journal&lt;/Ref_Type&gt;&lt;Ref_ID&gt;5135&lt;/Ref_ID&gt;&lt;Title_Primary&gt;The School Food Plan&lt;/Title_Primary&gt;&lt;Authors_Primary&gt;Dimbleby,H.&lt;/Authors_Primary&gt;&lt;Authors_Primary&gt;Vincent,J.&lt;/Authors_Primary&gt;&lt;Date_Primary&gt;2013&lt;/Date_Primary&gt;&lt;Keywords&gt;Food&lt;/Keywords&gt;&lt;Reprint&gt;Not in File&lt;/Reprint&gt;&lt;Start_Page&gt;July 2013&lt;/Start_Page&gt;&lt;Periodical&gt;http://www.schoolfoodplan.com/wp-content/uploads/2013/07/School_Food_Plan_2013.pdf&lt;/Periodical&gt;&lt;ZZ_JournalStdAbbrev&gt;&lt;f name="System"&gt;http://www.schoolfoodplan.com/wp-content/uploads/2013/07/School_Food_Plan_2013.pdf&lt;/f&gt;&lt;/ZZ_JournalStdAbbrev&gt;&lt;ZZ_WorkformID&gt;1&lt;/ZZ_WorkformID&gt;&lt;/MDL&gt;&lt;/Cite&gt;&lt;/Refman&gt;</w:instrText>
      </w:r>
      <w:r w:rsidR="00FF17D2">
        <w:fldChar w:fldCharType="separate"/>
      </w:r>
      <w:r w:rsidR="006C5B2D">
        <w:t>[34]</w:t>
      </w:r>
      <w:r w:rsidR="00FF17D2">
        <w:fldChar w:fldCharType="end"/>
      </w:r>
      <w:r w:rsidRPr="00D836A2">
        <w:t xml:space="preserve"> and other European countries </w:t>
      </w:r>
      <w:r w:rsidR="00FF17D2">
        <w:fldChar w:fldCharType="begin"/>
      </w:r>
      <w:r w:rsidR="006C5B2D">
        <w:instrText xml:space="preserve"> ADDIN REFMGR.CITE &lt;Refman&gt;&lt;Cite&gt;&lt;Author&gt;Caldeira&lt;/Author&gt;&lt;Year&gt;2017&lt;/Year&gt;&lt;RecNum&gt;5089&lt;/RecNum&gt;&lt;IDText&gt;Public procurement of food for health. Technical report on the school setting&lt;/IDText&gt;&lt;MDL Ref_Type="Journal"&gt;&lt;Ref_Type&gt;Journal&lt;/Ref_Type&gt;&lt;Ref_ID&gt;5089&lt;/Ref_ID&gt;&lt;Title_Primary&gt;Public procurement of food for health. Technical report on the school setting&lt;/Title_Primary&gt;&lt;Authors_Primary&gt;Caldeira,S.&lt;/Authors_Primary&gt;&lt;Authors_Primary&gt;Storcksdieck genannt Bonsmann,S.&lt;/Authors_Primary&gt;&lt;Authors_Primary&gt;Bakogianni,I.&lt;/Authors_Primary&gt;&lt;Authors_Primary&gt;Gauci,C.&lt;/Authors_Primary&gt;&lt;Authors_Primary&gt;Calleja,A.&lt;/Authors_Primary&gt;&lt;Authors_Primary&gt;Furtado,A.&lt;/Authors_Primary&gt;&lt;Date_Primary&gt;2017&lt;/Date_Primary&gt;&lt;Keywords&gt;Food&lt;/Keywords&gt;&lt;Keywords&gt;health&lt;/Keywords&gt;&lt;Keywords&gt;Is&lt;/Keywords&gt;&lt;Keywords&gt;To&lt;/Keywords&gt;&lt;Keywords&gt;standards&lt;/Keywords&gt;&lt;Keywords&gt;Nutrition&lt;/Keywords&gt;&lt;Keywords&gt;Europe&lt;/Keywords&gt;&lt;Reprint&gt;In File&lt;/Reprint&gt;&lt;Periodical&gt;Joint Publication of the Maltese presidency and the European Commission&lt;/Periodical&gt;&lt;Volume&gt;22 February 2017&lt;/Volume&gt;&lt;User_Def_1&gt;ISBN 978-99957-1-088-0&lt;/User_Def_1&gt;&lt;Web_URL&gt;&lt;u&gt;https://ec.europa.eu/jrc/sites/jrcsh/files/public-procurement-food-health-technical-report.pdf&lt;/u&gt;&lt;/Web_URL&gt;&lt;Web_URL_Link1&gt;&lt;u&gt;file://C:\Users\Darmon\Documents\MS nutrition\C I V cantines\biblio resto collective\public-procurement-food-health-technical-report.pdf&lt;/u&gt;&lt;/Web_URL_Link1&gt;&lt;ZZ_JournalFull&gt;&lt;f name="System"&gt;Joint Publication of the Maltese presidency and the European Commission&lt;/f&gt;&lt;/ZZ_JournalFull&gt;&lt;ZZ_WorkformID&gt;1&lt;/ZZ_WorkformID&gt;&lt;/MDL&gt;&lt;/Cite&gt;&lt;/Refman&gt;</w:instrText>
      </w:r>
      <w:r w:rsidR="00FF17D2">
        <w:fldChar w:fldCharType="separate"/>
      </w:r>
      <w:r w:rsidR="006C5B2D">
        <w:t>[2]</w:t>
      </w:r>
      <w:r w:rsidR="00FF17D2">
        <w:fldChar w:fldCharType="end"/>
      </w:r>
      <w:r w:rsidRPr="00D836A2">
        <w:t xml:space="preserve">, </w:t>
      </w:r>
      <w:r w:rsidR="004F6F72">
        <w:t xml:space="preserve">which have shown that </w:t>
      </w:r>
      <w:r w:rsidRPr="00D836A2">
        <w:t xml:space="preserve">school food </w:t>
      </w:r>
      <w:r w:rsidR="005E214A" w:rsidRPr="00D836A2">
        <w:t>guidelines</w:t>
      </w:r>
      <w:r w:rsidRPr="00D836A2">
        <w:t xml:space="preserve">, whether </w:t>
      </w:r>
      <w:r w:rsidR="00C337F0" w:rsidRPr="00D836A2">
        <w:t xml:space="preserve">mandatory </w:t>
      </w:r>
      <w:r w:rsidRPr="00D836A2">
        <w:t xml:space="preserve">or not, are often difficult to implement and must be associated with measures aiming to facilitate their application. The aim is notably to help professionals correctly classify dishes in regard to existing recommendations or </w:t>
      </w:r>
      <w:r w:rsidR="004F6F72">
        <w:t>mandatory guidelines</w:t>
      </w:r>
      <w:r w:rsidR="004F6F72" w:rsidRPr="00D836A2">
        <w:t xml:space="preserve"> </w:t>
      </w:r>
      <w:r w:rsidR="00FF17D2">
        <w:fldChar w:fldCharType="begin"/>
      </w:r>
      <w:r w:rsidR="006C5B2D">
        <w:instrText xml:space="preserve"> ADDIN REFMGR.CITE &lt;Refman&gt;&lt;Cite&gt;&lt;Author&gt;Yoong&lt;/Author&gt;&lt;Year&gt;2016&lt;/Year&gt;&lt;RecNum&gt;5029&lt;/RecNum&gt;&lt;IDText&gt;CAFE: a multicomponent audit and feedback intervention to improve implementation of healthy food policy in primary school canteens: a randomised controlled trial&lt;/IDText&gt;&lt;MDL Ref_Type="Journal"&gt;&lt;Ref_Type&gt;Journal&lt;/Ref_Type&gt;&lt;Ref_ID&gt;5029&lt;/Ref_ID&gt;&lt;Title_Primary&gt;CAFE: a multicomponent audit and feedback intervention to improve implementation of healthy food policy in primary school canteens: a randomised controlled trial&lt;/Title_Primary&gt;&lt;Authors_Primary&gt;Yoong,S.L.&lt;/Authors_Primary&gt;&lt;Authors_Primary&gt;Nathan,N.&lt;/Authors_Primary&gt;&lt;Authors_Primary&gt;Wolfenden,L.&lt;/Authors_Primary&gt;&lt;Authors_Primary&gt;Wiggers,J.&lt;/Authors_Primary&gt;&lt;Authors_Primary&gt;Reilly,K.&lt;/Authors_Primary&gt;&lt;Authors_Primary&gt;Oldmeadow,C.&lt;/Authors_Primary&gt;&lt;Authors_Primary&gt;Wyse,R.&lt;/Authors_Primary&gt;&lt;Authors_Primary&gt;Sutherland,R.&lt;/Authors_Primary&gt;&lt;Authors_Primary&gt;Delaney,T.&lt;/Authors_Primary&gt;&lt;Authors_Primary&gt;Butler,P.&lt;/Authors_Primary&gt;&lt;Authors_Primary&gt;Janssen,L.&lt;/Authors_Primary&gt;&lt;Authors_Primary&gt;Preece,S.&lt;/Authors_Primary&gt;&lt;Authors_Primary&gt;Williams,C.M.&lt;/Authors_Primary&gt;&lt;Date_Primary&gt;2016/12/5&lt;/Date_Primary&gt;&lt;Keywords&gt;An&lt;/Keywords&gt;&lt;Keywords&gt;Australia&lt;/Keywords&gt;&lt;Keywords&gt;availability&lt;/Keywords&gt;&lt;Keywords&gt;Child&lt;/Keywords&gt;&lt;Keywords&gt;Clinical Trials&lt;/Keywords&gt;&lt;Keywords&gt;DIETARY&lt;/Keywords&gt;&lt;Keywords&gt;Energy&lt;/Keywords&gt;&lt;Keywords&gt;England&lt;/Keywords&gt;&lt;Keywords&gt;Feedback&lt;/Keywords&gt;&lt;Keywords&gt;Food&lt;/Keywords&gt;&lt;Keywords&gt;Fruit&lt;/Keywords&gt;&lt;Keywords&gt;health&lt;/Keywords&gt;&lt;Keywords&gt;Intake&lt;/Keywords&gt;&lt;Keywords&gt;Intention&lt;/Keywords&gt;&lt;Keywords&gt;Intervention&lt;/Keywords&gt;&lt;Keywords&gt;Interventions&lt;/Keywords&gt;&lt;Keywords&gt;Is&lt;/Keywords&gt;&lt;Keywords&gt;Meat&lt;/Keywords&gt;&lt;Keywords&gt;methods&lt;/Keywords&gt;&lt;Keywords&gt;New South Wales&lt;/Keywords&gt;&lt;Keywords&gt;New Zealand&lt;/Keywords&gt;&lt;Keywords&gt;Nutrient&lt;/Keywords&gt;&lt;Keywords&gt;Nutrition&lt;/Keywords&gt;&lt;Keywords&gt;Nutrition Policy&lt;/Keywords&gt;&lt;Keywords&gt;Policy&lt;/Keywords&gt;&lt;Keywords&gt;population&lt;/Keywords&gt;&lt;Keywords&gt;Public Health&lt;/Keywords&gt;&lt;Keywords&gt;Region&lt;/Keywords&gt;&lt;Keywords&gt;Registries&lt;/Keywords&gt;&lt;Keywords&gt;Research&lt;/Keywords&gt;&lt;Keywords&gt;Schools&lt;/Keywords&gt;&lt;Keywords&gt;Telephone&lt;/Keywords&gt;&lt;Keywords&gt;To&lt;/Keywords&gt;&lt;Keywords&gt;Universities&lt;/Keywords&gt;&lt;Keywords&gt;Vegetables&lt;/Keywords&gt;&lt;Keywords&gt;Wales&lt;/Keywords&gt;&lt;Reprint&gt;Not in File&lt;/Reprint&gt;&lt;Start_Page&gt;126&lt;/Start_Page&gt;&lt;Periodical&gt;Int.J Behav.Nutr Phys.Act.&lt;/Periodical&gt;&lt;Volume&gt;13&lt;/Volume&gt;&lt;Issue&gt;1&lt;/Issue&gt;&lt;Address&gt;School of Medicine and Public Health, University of Newcastle, Callaghan, NSW, 2308, Australia. Serene.Yoong@hnehealth.nsw.gov.au&amp;#xA;Hunter Medical Research Institute, New Lambton, NSW, 2305, Australia. Serene.Yoong@hnehealth.nsw.gov.au&amp;#xA;Priority Research Centre for Health Behaviour, University of Newcastle, Callaghan, NSW, 2308, Australia. Serene.Yoong@hnehealth.nsw.gov.au&amp;#xA;Hunter New England Population Health, Locked Bag 10, Wallsend, NSW, 2287, Australia. Serene.Yoong@hnehealth.nsw.gov.au&amp;#xA;School of Medicine and Public Health, University of Newcastle, Callaghan, NSW, 2308, Australia&amp;#xA;Hunter Medical Research Institute, New Lambton, NSW, 2305, Australia&amp;#xA;Priority Research Centre for Health Behaviour, University of Newcastle, Callaghan, NSW, 2308, Australia&amp;#xA;Hunter New England Population Health, Locked Bag 10, Wallsend, NSW, 2287, Australia&amp;#xA;School of Medicine and Public Health, University of Newcastle, Callaghan, NSW, 2308, Australia&amp;#xA;Hunter Medical Research Institute, New Lambton, NSW, 2305, Australia&amp;#xA;Priority Research Centre for Health Behaviour, University of Newcastle, Callaghan, NSW, 2308, Australia&amp;#xA;Hunter New England Population Health, Locked Bag 10, Wallsend, NSW, 2287, Australia&amp;#xA;School of Medicine and Public Health, University of Newcastle, Callaghan, NSW, 2308, Australia&amp;#xA;Hunter Medical Research Institute, New Lambton, NSW, 2305, Australia&amp;#xA;Priority Research Centre for Health Behaviour, University of Newcastle, Callaghan, NSW, 2308, Australia&amp;#xA;Hunter New England Population Health, Locked Bag 10, Wallsend, NSW, 2287, Australia&amp;#xA;School of Medicine and Public Health, University of Newcastle, Callaghan, NSW, 2308, Australia&amp;#xA;Hunter Medical Research Institute, New Lambton, NSW, 2305, Australia&amp;#xA;Priority Research Centre for Health Behaviour, University of Newcastle, Callaghan, NSW, 2308, Australia&amp;#xA;Hunter New England Population Health, Locked Bag 10, Wallsend, NSW, 2287, Australia&amp;#xA;School of Medicine and Public Health, University of Newcastle, Callaghan, NSW, 2308, Australia&amp;#xA;Hunter Medical Research Institute, New Lambton, NSW, 2305, Australia&amp;#xA;School of Medicine and Public Health, University of Newcastle, Callaghan, NSW, 2308, Australia&amp;#xA;Hunter Medical Research Institute, New Lambton, NSW, 2305, Australia&amp;#xA;Priority Research Centre for Health Behaviour, University of Newcastle, Callaghan, NSW, 2308, Australia&amp;#xA;Hunter New England Population Health, Locked Bag 10, Wallsend, NSW, 2287, Australia&amp;#xA;School of Medicine and Public Health, University of Newcastle, Callaghan, NSW, 2308, Australia&amp;#xA;Hunter Medical Research Institute, New Lambton, NSW, 2305, Australia&amp;#xA;Priority Research Centre for Health Behaviour, University of Newcastle, Callaghan, NSW, 2308, Australia&amp;#xA;Hunter New England Population Health, Locked Bag 10, Wallsend, NSW, 2287, Australia&amp;#xA;School of Medicine and Public Health, University of Newcastle, Callaghan, NSW, 2308, Australia&amp;#xA;Hunter Medical Research Institute, New Lambton, NSW, 2305, Australia&amp;#xA;Priority Research Centre for Health Behaviour, University of Newcastle, Callaghan, NSW, 2308, Australia&amp;#xA;Hunter New England Population Health, Locked Bag 10, Wallsend, NSW, 2287, Australia&amp;#xA;School of Medicine and Public Health, University of Newcastle, Callaghan, NSW, 2308, Australia&amp;#xA;Hunter Medical Research Institute, New Lambton, NSW, 2305, Australia&amp;#xA;Priority Research Centre for Health Behaviour, University of Newcastle, Callaghan, NSW, 2308, Australia&amp;#xA;Hunter New England Population Health, Locked Bag 10, Wallsend, NSW, 2287, Australia&amp;#xA;School of Medicine and Public Health, University of Newcastle, Callaghan, NSW, 2308, Australia&amp;#xA;Hunter Medical Research Institute, New Lambton, NSW, 2305, Australia&amp;#xA;Priority Research Centre for Health Behaviour, University of Newcastle, Callaghan, NSW, 2308, Australia&amp;#xA;Hunter New England Population Health, Locked Bag 10, Wallsend, NSW, 2287, Australia&amp;#xA;Hunter New England Population Health, Locked Bag 10, Wallsend, NSW, 2287, Australia&amp;#xA;School of Medicine and Public Health, University of Newcastle, Callaghan, NSW, 2308, Australia&amp;#xA;Hunter Medical Research Institute, New Lambton, NSW, 2305, Australia&amp;#xA;Priority Research Centre for Health Behaviour, University of Newcastle, Callaghan, NSW, 2308, Australia&amp;#xA;Hunter New England Population Health, Locked Bag 10, Wallsend, NSW, 2287, Australia&lt;/Address&gt;&lt;Web_URL&gt;PM:27919261&lt;/Web_URL&gt;&lt;Web_URL_Link1&gt;&lt;u&gt;file://C:\Users\Darmon\Documents\Biblio_Doc\PDF et autres Doc\CAFE RCT intervention healthy food school canteens IJBNPA 2016.pdf&lt;/u&gt;&lt;/Web_URL_Link1&gt;&lt;ZZ_JournalStdAbbrev&gt;&lt;f name="System"&gt;Int.J Behav.Nutr Phys.Act.&lt;/f&gt;&lt;/ZZ_JournalStdAbbrev&gt;&lt;ZZ_WorkformID&gt;1&lt;/ZZ_WorkformID&gt;&lt;/MDL&gt;&lt;/Cite&gt;&lt;Cite&gt;&lt;Author&gt;Caldeira&lt;/Author&gt;&lt;Year&gt;2017&lt;/Year&gt;&lt;RecNum&gt;5089&lt;/RecNum&gt;&lt;IDText&gt;Public procurement of food for health. Technical report on the school setting&lt;/IDText&gt;&lt;MDL Ref_Type="Journal"&gt;&lt;Ref_Type&gt;Journal&lt;/Ref_Type&gt;&lt;Ref_ID&gt;5089&lt;/Ref_ID&gt;&lt;Title_Primary&gt;Public procurement of food for health. Technical report on the school setting&lt;/Title_Primary&gt;&lt;Authors_Primary&gt;Caldeira,S.&lt;/Authors_Primary&gt;&lt;Authors_Primary&gt;Storcksdieck genannt Bonsmann,S.&lt;/Authors_Primary&gt;&lt;Authors_Primary&gt;Bakogianni,I.&lt;/Authors_Primary&gt;&lt;Authors_Primary&gt;Gauci,C.&lt;/Authors_Primary&gt;&lt;Authors_Primary&gt;Calleja,A.&lt;/Authors_Primary&gt;&lt;Authors_Primary&gt;Furtado,A.&lt;/Authors_Primary&gt;&lt;Date_Primary&gt;2017&lt;/Date_Primary&gt;&lt;Keywords&gt;Food&lt;/Keywords&gt;&lt;Keywords&gt;health&lt;/Keywords&gt;&lt;Keywords&gt;Is&lt;/Keywords&gt;&lt;Keywords&gt;To&lt;/Keywords&gt;&lt;Keywords&gt;standards&lt;/Keywords&gt;&lt;Keywords&gt;Nutrition&lt;/Keywords&gt;&lt;Keywords&gt;Europe&lt;/Keywords&gt;&lt;Reprint&gt;In File&lt;/Reprint&gt;&lt;Periodical&gt;Joint Publication of the Maltese presidency and the European Commission&lt;/Periodical&gt;&lt;Volume&gt;22 February 2017&lt;/Volume&gt;&lt;User_Def_1&gt;ISBN 978-99957-1-088-0&lt;/User_Def_1&gt;&lt;Web_URL&gt;&lt;u&gt;https://ec.europa.eu/jrc/sites/jrcsh/files/public-procurement-food-health-technical-report.pdf&lt;/u&gt;&lt;/Web_URL&gt;&lt;Web_URL_Link1&gt;&lt;u&gt;file://C:\Users\Darmon\Documents\MS nutrition\C I V cantines\biblio resto collective\public-procurement-food-health-technical-report.pdf&lt;/u&gt;&lt;/Web_URL_Link1&gt;&lt;ZZ_JournalFull&gt;&lt;f name="System"&gt;Joint Publication of the Maltese presidency and the European Commission&lt;/f&gt;&lt;/ZZ_JournalFull&gt;&lt;ZZ_WorkformID&gt;1&lt;/ZZ_WorkformID&gt;&lt;/MDL&gt;&lt;/Cite&gt;&lt;Cite&gt;&lt;Author&gt;Wickramasinghe&lt;/Author&gt;&lt;Year&gt;2016&lt;/Year&gt;&lt;RecNum&gt;5030&lt;/RecNum&gt;&lt;IDText&gt;Contribution of healthy and unhealthy primary school meals to greenhouse gas emissions in England: linking nutritional data and greenhouse gas emission data of diets&lt;/IDText&gt;&lt;MDL Ref_Type="Journal"&gt;&lt;Ref_Type&gt;Journal&lt;/Ref_Type&gt;&lt;Ref_ID&gt;5030&lt;/Ref_ID&gt;&lt;Title_Primary&gt;Contribution of healthy and unhealthy primary school meals to greenhouse gas emissions in England: linking nutritional data and greenhouse gas emission data of diets&lt;/Title_Primary&gt;&lt;Authors_Primary&gt;Wickramasinghe,K.K.&lt;/Authors_Primary&gt;&lt;Authors_Primary&gt;Rayner,M.&lt;/Authors_Primary&gt;&lt;Authors_Primary&gt;Goldacre,M.&lt;/Authors_Primary&gt;&lt;Authors_Primary&gt;Townsend,N.&lt;/Authors_Primary&gt;&lt;Authors_Primary&gt;Scarborough,P.&lt;/Authors_Primary&gt;&lt;Date_Primary&gt;2016/10&lt;/Date_Primary&gt;&lt;Keywords&gt;An&lt;/Keywords&gt;&lt;Keywords&gt;children&lt;/Keywords&gt;&lt;Keywords&gt;Diet&lt;/Keywords&gt;&lt;Keywords&gt;disease&lt;/Keywords&gt;&lt;Keywords&gt;England&lt;/Keywords&gt;&lt;Keywords&gt;epidemiology&lt;/Keywords&gt;&lt;Keywords&gt;Fat&lt;/Keywords&gt;&lt;Keywords&gt;Food&lt;/Keywords&gt;&lt;Keywords&gt;health&lt;/Keywords&gt;&lt;Keywords&gt;Is&lt;/Keywords&gt;&lt;Keywords&gt;level&lt;/Keywords&gt;&lt;Keywords&gt;Lunch&lt;/Keywords&gt;&lt;Keywords&gt;Meals&lt;/Keywords&gt;&lt;Keywords&gt;Meat&lt;/Keywords&gt;&lt;Keywords&gt;population&lt;/Keywords&gt;&lt;Keywords&gt;sample&lt;/Keywords&gt;&lt;Keywords&gt;Schools&lt;/Keywords&gt;&lt;Keywords&gt;Students&lt;/Keywords&gt;&lt;Keywords&gt;To&lt;/Keywords&gt;&lt;Keywords&gt;Universities&lt;/Keywords&gt;&lt;Reprint&gt;Not in File&lt;/Reprint&gt;&lt;Start_Page&gt;1162&lt;/Start_Page&gt;&lt;End_Page&gt;1167&lt;/End_Page&gt;&lt;Periodical&gt;Eur.J Clin.Nutr&lt;/Periodical&gt;&lt;Volume&gt;70&lt;/Volume&gt;&lt;Issue&gt;10&lt;/Issue&gt;&lt;Address&gt;British Heart Foundation Centre on Population Approaches for Non-Communicable Disease Prevention, Nuffield Department of Population Health, University of Oxford, Oxford, UK&amp;#xA;British Heart Foundation Centre on Population Approaches for Non-Communicable Disease Prevention, Nuffield Department of Population Health, University of Oxford, Oxford, UK&amp;#xA;Unit of Health Care Epidemiology, Nuffield Department of Population Health, University of Oxford, Oxford, UK&amp;#xA;British Heart Foundation Centre on Population Approaches for Non-Communicable Disease Prevention, Nuffield Department of Population Health, University of Oxford, Oxford, UK&amp;#xA;British Heart Foundation Centre on Population Approaches for Non-Communicable Disease Prevention, Nuffield Department of Population Health, University of Oxford, Oxford, UK&lt;/Address&gt;&lt;Web_URL&gt;PM:27329613&lt;/Web_URL&gt;&lt;Web_URL_Link1&gt;&lt;u&gt;file://C:\Users\Darmon\Documents\Projets_ANR\OCAD\Biblio Environnement\GHGE School meals Rayner 2016.pdf&lt;/u&gt;&lt;/Web_URL_Link1&gt;&lt;ZZ_JournalStdAbbrev&gt;&lt;f name="System"&gt;Eur.J Clin.Nutr&lt;/f&gt;&lt;/ZZ_JournalStdAbbrev&gt;&lt;ZZ_WorkformID&gt;1&lt;/ZZ_WorkformID&gt;&lt;/MDL&gt;&lt;/Cite&gt;&lt;/Refman&gt;</w:instrText>
      </w:r>
      <w:r w:rsidR="00FF17D2">
        <w:fldChar w:fldCharType="separate"/>
      </w:r>
      <w:r w:rsidR="006C5B2D">
        <w:t>[2,35,36]</w:t>
      </w:r>
      <w:r w:rsidR="00FF17D2">
        <w:fldChar w:fldCharType="end"/>
      </w:r>
      <w:r w:rsidRPr="00D836A2">
        <w:t xml:space="preserve">. One can also assume that simplifying criteria could facilitate their application </w:t>
      </w:r>
      <w:r w:rsidR="00FF17D2">
        <w:fldChar w:fldCharType="begin"/>
      </w:r>
      <w:r w:rsidR="006C5B2D">
        <w:instrText xml:space="preserve"> ADDIN REFMGR.CITE &lt;Refman&gt;&lt;Cite&gt;&lt;Author&gt;Caldeira&lt;/Author&gt;&lt;Year&gt;2017&lt;/Year&gt;&lt;RecNum&gt;5089&lt;/RecNum&gt;&lt;IDText&gt;Public procurement of food for health. Technical report on the school setting&lt;/IDText&gt;&lt;MDL Ref_Type="Journal"&gt;&lt;Ref_Type&gt;Journal&lt;/Ref_Type&gt;&lt;Ref_ID&gt;5089&lt;/Ref_ID&gt;&lt;Title_Primary&gt;Public procurement of food for health. Technical report on the school setting&lt;/Title_Primary&gt;&lt;Authors_Primary&gt;Caldeira,S.&lt;/Authors_Primary&gt;&lt;Authors_Primary&gt;Storcksdieck genannt Bonsmann,S.&lt;/Authors_Primary&gt;&lt;Authors_Primary&gt;Bakogianni,I.&lt;/Authors_Primary&gt;&lt;Authors_Primary&gt;Gauci,C.&lt;/Authors_Primary&gt;&lt;Authors_Primary&gt;Calleja,A.&lt;/Authors_Primary&gt;&lt;Authors_Primary&gt;Furtado,A.&lt;/Authors_Primary&gt;&lt;Date_Primary&gt;2017&lt;/Date_Primary&gt;&lt;Keywords&gt;Food&lt;/Keywords&gt;&lt;Keywords&gt;health&lt;/Keywords&gt;&lt;Keywords&gt;Is&lt;/Keywords&gt;&lt;Keywords&gt;To&lt;/Keywords&gt;&lt;Keywords&gt;standards&lt;/Keywords&gt;&lt;Keywords&gt;Nutrition&lt;/Keywords&gt;&lt;Keywords&gt;Europe&lt;/Keywords&gt;&lt;Reprint&gt;In File&lt;/Reprint&gt;&lt;Periodical&gt;Joint Publication of the Maltese presidency and the European Commission&lt;/Periodical&gt;&lt;Volume&gt;22 February 2017&lt;/Volume&gt;&lt;User_Def_1&gt;ISBN 978-99957-1-088-0&lt;/User_Def_1&gt;&lt;Web_URL&gt;&lt;u&gt;https://ec.europa.eu/jrc/sites/jrcsh/files/public-procurement-food-health-technical-report.pdf&lt;/u&gt;&lt;/Web_URL&gt;&lt;Web_URL_Link1&gt;&lt;u&gt;file://C:\Users\Darmon\Documents\MS nutrition\C I V cantines\biblio resto collective\public-procurement-food-health-technical-report.pdf&lt;/u&gt;&lt;/Web_URL_Link1&gt;&lt;ZZ_JournalFull&gt;&lt;f name="System"&gt;Joint Publication of the Maltese presidency and the European Commission&lt;/f&gt;&lt;/ZZ_JournalFull&gt;&lt;ZZ_WorkformID&gt;1&lt;/ZZ_WorkformID&gt;&lt;/MDL&gt;&lt;/Cite&gt;&lt;/Refman&gt;</w:instrText>
      </w:r>
      <w:r w:rsidR="00FF17D2">
        <w:fldChar w:fldCharType="separate"/>
      </w:r>
      <w:r w:rsidR="006C5B2D">
        <w:t>[2]</w:t>
      </w:r>
      <w:r w:rsidR="00FF17D2">
        <w:fldChar w:fldCharType="end"/>
      </w:r>
      <w:r w:rsidRPr="00D836A2">
        <w:t>. In this regard, our results suggest that it would be possible to revise the frequency criteria for school food in France so as to make them more flexible or reduce their number without losing effectiveness because there was no measurable nutritional benefit beyond compliance with 10 criteria (and a relative score equal to 13).</w:t>
      </w:r>
      <w:r w:rsidR="003E52C8" w:rsidRPr="00D836A2">
        <w:t xml:space="preserve"> However, more work would be needed to explore which kind</w:t>
      </w:r>
      <w:r w:rsidR="004F6F72">
        <w:t>s</w:t>
      </w:r>
      <w:r w:rsidR="003E52C8" w:rsidRPr="00D836A2">
        <w:t xml:space="preserve"> of simplification would be </w:t>
      </w:r>
      <w:r w:rsidR="00D56657" w:rsidRPr="00D836A2">
        <w:t xml:space="preserve">beneficial and </w:t>
      </w:r>
      <w:r w:rsidR="003E52C8" w:rsidRPr="00D836A2">
        <w:t>acceptable.</w:t>
      </w:r>
    </w:p>
    <w:p w:rsidR="00D43FA0" w:rsidRPr="00D836A2" w:rsidRDefault="00D43FA0" w:rsidP="00726473">
      <w:pPr>
        <w:pStyle w:val="MDPI31text"/>
        <w:rPr>
          <w:lang w:eastAsia="fr-FR"/>
        </w:rPr>
      </w:pPr>
      <w:r w:rsidRPr="00D836A2">
        <w:t xml:space="preserve">One major advantage of </w:t>
      </w:r>
      <w:r w:rsidR="004F6F72">
        <w:t xml:space="preserve">the </w:t>
      </w:r>
      <w:r w:rsidRPr="00D836A2">
        <w:t>French</w:t>
      </w:r>
      <w:r w:rsidR="0015163A">
        <w:t xml:space="preserve"> school food</w:t>
      </w:r>
      <w:r w:rsidRPr="00D836A2">
        <w:t xml:space="preserve"> </w:t>
      </w:r>
      <w:r w:rsidR="005E214A" w:rsidRPr="00D836A2">
        <w:t xml:space="preserve">guidelines </w:t>
      </w:r>
      <w:r w:rsidR="004F6F72">
        <w:t>is how</w:t>
      </w:r>
      <w:r w:rsidR="003E52C8" w:rsidRPr="00D836A2">
        <w:t xml:space="preserve"> they are formulated, which allows </w:t>
      </w:r>
      <w:r w:rsidR="004F6F72">
        <w:t>for the simultaneous consideration of</w:t>
      </w:r>
      <w:r w:rsidR="003E52C8" w:rsidRPr="00D836A2">
        <w:t xml:space="preserve"> </w:t>
      </w:r>
      <w:r w:rsidR="00D56657" w:rsidRPr="00D836A2">
        <w:t xml:space="preserve">several </w:t>
      </w:r>
      <w:r w:rsidR="003E52C8" w:rsidRPr="00D836A2">
        <w:t>different characteristics of the dishes</w:t>
      </w:r>
      <w:r w:rsidRPr="00D836A2">
        <w:t>. Thus, some dishes are to be favored (minimal service frequency) while others are to be limited (maximal service frequency), but nothing is outlawed. In addition, the criteria apply to both the composition of dishes in certain ingredients and their nutrient content, and often combine two types of requirements (</w:t>
      </w:r>
      <w:r w:rsidR="004F6F72">
        <w:t>e.g.</w:t>
      </w:r>
      <w:r w:rsidRPr="00D836A2">
        <w:t xml:space="preserve"> the “fish or fish-based preparations containing at least 70% fish and having a P/F ratio ≥ 2” criteria). School food </w:t>
      </w:r>
      <w:r w:rsidR="005E214A" w:rsidRPr="00D836A2">
        <w:t xml:space="preserve">guidelines </w:t>
      </w:r>
      <w:r w:rsidRPr="00D836A2">
        <w:t xml:space="preserve">are very different in the United Kingdom, where a sharp distinction is drawn between food-based standards (FBS) and nutrient-based standards (NBS) </w:t>
      </w:r>
      <w:r w:rsidR="00FF17D2">
        <w:rPr>
          <w:lang w:eastAsia="fr-FR"/>
        </w:rPr>
        <w:fldChar w:fldCharType="begin"/>
      </w:r>
      <w:r w:rsidR="006C5B2D">
        <w:rPr>
          <w:lang w:eastAsia="fr-FR"/>
        </w:rPr>
        <w:instrText xml:space="preserve"> ADDIN REFMGR.CITE &lt;Refman&gt;&lt;Cite&gt;&lt;Author&gt;Weichselbaum&lt;/Author&gt;&lt;Year&gt;2011&lt;/Year&gt;&lt;RecNum&gt;4374&lt;/RecNum&gt;&lt;IDText&gt;Nutrition in schools across Europe: a summary report of a meeting of European Nutrition Foundations, Madrid, April 2010&lt;/IDText&gt;&lt;MDL Ref_Type="Journal"&gt;&lt;Ref_Type&gt;Journal&lt;/Ref_Type&gt;&lt;Ref_ID&gt;4374&lt;/Ref_ID&gt;&lt;Title_Primary&gt;&lt;f name="Times New Roman"&gt;Nutrition in schools across Europe: a summary report of a meeting of European Nutrition Foundations, Madrid, April 2010&lt;/f&gt;&lt;/Title_Primary&gt;&lt;Authors_Primary&gt;Weichselbaum&lt;/Authors_Primary&gt;&lt;Authors_Primary&gt;Gibson-Moore&lt;/Authors_Primary&gt;&lt;Authors_Primary&gt;Ballam&lt;/Authors_Primary&gt;&lt;Authors_Primary&gt;Buttriss&lt;/Authors_Primary&gt;&lt;Date_Primary&gt;2011&lt;/Date_Primary&gt;&lt;Keywords&gt;Europe&lt;/Keywords&gt;&lt;Keywords&gt;Nutrition&lt;/Keywords&gt;&lt;Keywords&gt;Schools&lt;/Keywords&gt;&lt;Reprint&gt;In File&lt;/Reprint&gt;&lt;Start_Page&gt;124&lt;/Start_Page&gt;&lt;End_Page&gt;141&lt;/End_Page&gt;&lt;Periodical&gt;Nutr Bull&lt;/Periodical&gt;&lt;Volume&gt;36&lt;/Volume&gt;&lt;Web_URL_Link1&gt;&lt;u&gt;file://C:\Users\darmon\Documents\Biblio_Doc\PDF et autres Doc\School nutrition across Europe 2010.pdf&lt;/u&gt;&lt;/Web_URL_Link1&gt;&lt;ZZ_JournalFull&gt;&lt;f name="System"&gt;Nutr Bull&lt;/f&gt;&lt;/ZZ_JournalFull&gt;&lt;ZZ_WorkformID&gt;1&lt;/ZZ_WorkformID&gt;&lt;/MDL&gt;&lt;/Cite&gt;&lt;/Refman&gt;</w:instrText>
      </w:r>
      <w:r w:rsidR="00FF17D2">
        <w:rPr>
          <w:lang w:eastAsia="fr-FR"/>
        </w:rPr>
        <w:fldChar w:fldCharType="separate"/>
      </w:r>
      <w:r w:rsidR="006C5B2D">
        <w:rPr>
          <w:lang w:eastAsia="fr-FR"/>
        </w:rPr>
        <w:t>[8]</w:t>
      </w:r>
      <w:r w:rsidR="00FF17D2">
        <w:rPr>
          <w:lang w:eastAsia="fr-FR"/>
        </w:rPr>
        <w:fldChar w:fldCharType="end"/>
      </w:r>
      <w:r w:rsidRPr="00D836A2">
        <w:t xml:space="preserve">. FBS (13 criteria) were first imposed in 2001, and then deemed insufficient and supplemented by NBS (14 criteria) </w:t>
      </w:r>
      <w:r w:rsidR="00FF17D2">
        <w:rPr>
          <w:lang w:eastAsia="fr-FR"/>
        </w:rPr>
        <w:fldChar w:fldCharType="begin"/>
      </w:r>
      <w:r w:rsidR="006C5B2D">
        <w:rPr>
          <w:lang w:eastAsia="fr-FR"/>
        </w:rPr>
        <w:instrText xml:space="preserve"> ADDIN REFMGR.CITE &lt;Refman&gt;&lt;Cite&gt;&lt;Author&gt;Haroun&lt;/Author&gt;&lt;Year&gt;2011&lt;/Year&gt;&lt;RecNum&gt;5068&lt;/RecNum&gt;&lt;IDText&gt;Nutrient-based standards for school lunches complement food-based standards and improve pupils&amp;apos; nutrient intake profile&lt;/IDText&gt;&lt;MDL Ref_Type="Journal"&gt;&lt;Ref_Type&gt;Journal&lt;/Ref_Type&gt;&lt;Ref_ID&gt;5068&lt;/Ref_ID&gt;&lt;Title_Primary&gt;Nutrient-based standards for school lunches complement food-based standards and improve pupils&amp;apos; nutrient intake profile&lt;/Title_Primary&gt;&lt;Authors_Primary&gt;Haroun,D.&lt;/Authors_Primary&gt;&lt;Authors_Primary&gt;Wood,L.&lt;/Authors_Primary&gt;&lt;Authors_Primary&gt;Harper,C.&lt;/Authors_Primary&gt;&lt;Authors_Primary&gt;Nelson,M.&lt;/Authors_Primary&gt;&lt;Date_Primary&gt;2011/8&lt;/Date_Primary&gt;&lt;Keywords&gt;administration &amp;amp; dosage&lt;/Keywords&gt;&lt;Keywords&gt;Aged&lt;/Keywords&gt;&lt;Keywords&gt;Child&lt;/Keywords&gt;&lt;Keywords&gt;Child Behavior&lt;/Keywords&gt;&lt;Keywords&gt;Child,Preschool&lt;/Keywords&gt;&lt;Keywords&gt;Cooking&lt;/Keywords&gt;&lt;Keywords&gt;Diet&lt;/Keywords&gt;&lt;Keywords&gt;DIETARY&lt;/Keywords&gt;&lt;Keywords&gt;Dietary Fats&lt;/Keywords&gt;&lt;Keywords&gt;England&lt;/Keywords&gt;&lt;Keywords&gt;Fat&lt;/Keywords&gt;&lt;Keywords&gt;Fats&lt;/Keywords&gt;&lt;Keywords&gt;Female&lt;/Keywords&gt;&lt;Keywords&gt;Food&lt;/Keywords&gt;&lt;Keywords&gt;Food Preferences&lt;/Keywords&gt;&lt;Keywords&gt;Food Services&lt;/Keywords&gt;&lt;Keywords&gt;Guideline Adherence&lt;/Keywords&gt;&lt;Keywords&gt;Guidelines as Topic&lt;/Keywords&gt;&lt;Keywords&gt;Health Promotion&lt;/Keywords&gt;&lt;Keywords&gt;Humans&lt;/Keywords&gt;&lt;Keywords&gt;Im&lt;/Keywords&gt;&lt;Keywords&gt;Intake&lt;/Keywords&gt;&lt;Keywords&gt;Is&lt;/Keywords&gt;&lt;Keywords&gt;legislation &amp;amp; jurisprudence&lt;/Keywords&gt;&lt;Keywords&gt;Legislation,Food&lt;/Keywords&gt;&lt;Keywords&gt;London&lt;/Keywords&gt;&lt;Keywords&gt;Lunch&lt;/Keywords&gt;&lt;Keywords&gt;Male&lt;/Keywords&gt;&lt;Keywords&gt;Meals&lt;/Keywords&gt;&lt;Keywords&gt;methods&lt;/Keywords&gt;&lt;Keywords&gt;Nutrient&lt;/Keywords&gt;&lt;Keywords&gt;nutrient intake&lt;/Keywords&gt;&lt;Keywords&gt;Nutrition Policy&lt;/Keywords&gt;&lt;Keywords&gt;Obesity&lt;/Keywords&gt;&lt;Keywords&gt;Overweight&lt;/Keywords&gt;&lt;Keywords&gt;Policy&lt;/Keywords&gt;&lt;Keywords&gt;Prevalence&lt;/Keywords&gt;&lt;Keywords&gt;prevention &amp;amp; control&lt;/Keywords&gt;&lt;Keywords&gt;Research&lt;/Keywords&gt;&lt;Keywords&gt;sample&lt;/Keywords&gt;&lt;Keywords&gt;Schools&lt;/Keywords&gt;&lt;Keywords&gt;Sodium&lt;/Keywords&gt;&lt;Keywords&gt;Sodium,Dietary&lt;/Keywords&gt;&lt;Keywords&gt;standards&lt;/Keywords&gt;&lt;Keywords&gt;To&lt;/Keywords&gt;&lt;Reprint&gt;Not in File&lt;/Reprint&gt;&lt;Start_Page&gt;472&lt;/Start_Page&gt;&lt;End_Page&gt;474&lt;/End_Page&gt;&lt;Periodical&gt;Br.J Nutr&lt;/Periodical&gt;&lt;Volume&gt;106&lt;/Volume&gt;&lt;Issue&gt;4&lt;/Issue&gt;&lt;Address&gt;School Food Trust, London, UK&lt;/Address&gt;&lt;Web_URL&gt;PM:21736822&lt;/Web_URL&gt;&lt;Web_URL_Link1&gt;&lt;u&gt;file://C:\Users\Darmon\Documents\Biblio_Doc\PDF et autres Doc\FBS NBS School Meals UK 2011 BJN.pdf&lt;/u&gt;&lt;/Web_URL_Link1&gt;&lt;ZZ_JournalStdAbbrev&gt;&lt;f name="System"&gt;Br.J Nutr&lt;/f&gt;&lt;/ZZ_JournalStdAbbrev&gt;&lt;ZZ_WorkformID&gt;1&lt;/ZZ_WorkformID&gt;&lt;/MDL&gt;&lt;/Cite&gt;&lt;Cite&gt;&lt;Author&gt;Haroun&lt;/Author&gt;&lt;Year&gt;2011&lt;/Year&gt;&lt;RecNum&gt;5069&lt;/RecNum&gt;&lt;IDText&gt;The impact of the food-based and nutrient-based standards on lunchtime food and drink provision and consumption in primary schools in England&lt;/IDText&gt;&lt;MDL Ref_Type="Journal"&gt;&lt;Ref_Type&gt;Journal&lt;/Ref_Type&gt;&lt;Ref_ID&gt;5069&lt;/Ref_ID&gt;&lt;Title_Primary&gt;The impact of the food-based and nutrient-based standards on lunchtime food and drink provision and consumption in primary schools in England&lt;/Title_Primary&gt;&lt;Authors_Primary&gt;Haroun,D.&lt;/Authors_Primary&gt;&lt;Authors_Primary&gt;Harper,C.&lt;/Authors_Primary&gt;&lt;Authors_Primary&gt;Wood,L.&lt;/Authors_Primary&gt;&lt;Authors_Primary&gt;Nelson,M.&lt;/Authors_Primary&gt;&lt;Date_Primary&gt;2011/2&lt;/Date_Primary&gt;&lt;Keywords&gt;An&lt;/Keywords&gt;&lt;Keywords&gt;Child&lt;/Keywords&gt;&lt;Keywords&gt;Child Nutritional Physiological Phenomena&lt;/Keywords&gt;&lt;Keywords&gt;Choice Behavior&lt;/Keywords&gt;&lt;Keywords&gt;Comparative Study&lt;/Keywords&gt;&lt;Keywords&gt;consumption&lt;/Keywords&gt;&lt;Keywords&gt;Cross-Sectional Studies&lt;/Keywords&gt;&lt;Keywords&gt;Diet&lt;/Keywords&gt;&lt;Keywords&gt;England&lt;/Keywords&gt;&lt;Keywords&gt;Fat&lt;/Keywords&gt;&lt;Keywords&gt;Feeding Behavior&lt;/Keywords&gt;&lt;Keywords&gt;Female&lt;/Keywords&gt;&lt;Keywords&gt;Food&lt;/Keywords&gt;&lt;Keywords&gt;Food Preferences&lt;/Keywords&gt;&lt;Keywords&gt;Food Services&lt;/Keywords&gt;&lt;Keywords&gt;Fruit&lt;/Keywords&gt;&lt;Keywords&gt;Humans&lt;/Keywords&gt;&lt;Keywords&gt;Im&lt;/Keywords&gt;&lt;Keywords&gt;Is&lt;/Keywords&gt;&lt;Keywords&gt;London&lt;/Keywords&gt;&lt;Keywords&gt;Lunch&lt;/Keywords&gt;&lt;Keywords&gt;Male&lt;/Keywords&gt;&lt;Keywords&gt;Multicenter Studies&lt;/Keywords&gt;&lt;Keywords&gt;Nutrition Policy&lt;/Keywords&gt;&lt;Keywords&gt;Nutrition Surveys&lt;/Keywords&gt;&lt;Keywords&gt;Nutritive Value&lt;/Keywords&gt;&lt;Keywords&gt;physiology&lt;/Keywords&gt;&lt;Keywords&gt;psychology&lt;/Keywords&gt;&lt;Keywords&gt;Research&lt;/Keywords&gt;&lt;Keywords&gt;sample&lt;/Keywords&gt;&lt;Keywords&gt;Schools&lt;/Keywords&gt;&lt;Keywords&gt;selection&lt;/Keywords&gt;&lt;Keywords&gt;standards&lt;/Keywords&gt;&lt;Keywords&gt;statistics &amp;amp; numerical data&lt;/Keywords&gt;&lt;Keywords&gt;To&lt;/Keywords&gt;&lt;Keywords&gt;trends&lt;/Keywords&gt;&lt;Keywords&gt;Vegetables&lt;/Keywords&gt;&lt;Keywords&gt;Water&lt;/Keywords&gt;&lt;Keywords&gt;weight&lt;/Keywords&gt;&lt;Reprint&gt;Not in File&lt;/Reprint&gt;&lt;Start_Page&gt;209&lt;/Start_Page&gt;&lt;End_Page&gt;218&lt;/End_Page&gt;&lt;Periodical&gt;Public Health Nutr&lt;/Periodical&gt;&lt;Volume&gt;14&lt;/Volume&gt;&lt;Issue&gt;2&lt;/Issue&gt;&lt;Address&gt;School Food Trust, Great Smith Street, London, SW1P 3BT, UK&lt;/Address&gt;&lt;Web_URL&gt;PM:20701821&lt;/Web_URL&gt;&lt;Web_URL_Link1&gt;&lt;u&gt;file://C:\Users\Darmon\Documents\Biblio_Doc\PDF et autres Doc\FBS NBS School Meals UK 2011 PHN.pdf&lt;/u&gt;&lt;/Web_URL_Link1&gt;&lt;ZZ_JournalStdAbbrev&gt;&lt;f name="System"&gt;Public Health Nutr&lt;/f&gt;&lt;/ZZ_JournalStdAbbrev&gt;&lt;ZZ_WorkformID&gt;1&lt;/ZZ_WorkformID&gt;&lt;/MDL&gt;&lt;/Cite&gt;&lt;/Refman&gt;</w:instrText>
      </w:r>
      <w:r w:rsidR="00FF17D2">
        <w:rPr>
          <w:lang w:eastAsia="fr-FR"/>
        </w:rPr>
        <w:fldChar w:fldCharType="separate"/>
      </w:r>
      <w:r w:rsidR="006C5B2D">
        <w:rPr>
          <w:lang w:eastAsia="fr-FR"/>
        </w:rPr>
        <w:t>[37,38]</w:t>
      </w:r>
      <w:r w:rsidR="00FF17D2">
        <w:rPr>
          <w:lang w:eastAsia="fr-FR"/>
        </w:rPr>
        <w:fldChar w:fldCharType="end"/>
      </w:r>
      <w:r w:rsidRPr="00D836A2">
        <w:t>. However, even with these dual requirements—FBS and NBS—</w:t>
      </w:r>
      <w:r w:rsidR="005E214A" w:rsidRPr="00D836A2">
        <w:t xml:space="preserve">some </w:t>
      </w:r>
      <w:r w:rsidRPr="00D836A2">
        <w:t xml:space="preserve">nutritional </w:t>
      </w:r>
      <w:r w:rsidR="005E214A" w:rsidRPr="00D836A2">
        <w:t>goals</w:t>
      </w:r>
      <w:r w:rsidRPr="00D836A2">
        <w:t xml:space="preserve">, notably regarding iron, zinc and sodium, remain difficult to achieve </w:t>
      </w:r>
      <w:r w:rsidR="00FF17D2">
        <w:rPr>
          <w:lang w:eastAsia="fr-FR"/>
        </w:rPr>
        <w:fldChar w:fldCharType="begin"/>
      </w:r>
      <w:r w:rsidR="006C5B2D">
        <w:rPr>
          <w:lang w:eastAsia="fr-FR"/>
        </w:rPr>
        <w:instrText xml:space="preserve"> ADDIN REFMGR.CITE &lt;Refman&gt;&lt;Cite&gt;&lt;Author&gt;Haroun&lt;/Author&gt;&lt;Year&gt;2011&lt;/Year&gt;&lt;RecNum&gt;5069&lt;/RecNum&gt;&lt;IDText&gt;The impact of the food-based and nutrient-based standards on lunchtime food and drink provision and consumption in primary schools in England&lt;/IDText&gt;&lt;MDL Ref_Type="Journal"&gt;&lt;Ref_Type&gt;Journal&lt;/Ref_Type&gt;&lt;Ref_ID&gt;5069&lt;/Ref_ID&gt;&lt;Title_Primary&gt;The impact of the food-based and nutrient-based standards on lunchtime food and drink provision and consumption in primary schools in England&lt;/Title_Primary&gt;&lt;Authors_Primary&gt;Haroun,D.&lt;/Authors_Primary&gt;&lt;Authors_Primary&gt;Harper,C.&lt;/Authors_Primary&gt;&lt;Authors_Primary&gt;Wood,L.&lt;/Authors_Primary&gt;&lt;Authors_Primary&gt;Nelson,M.&lt;/Authors_Primary&gt;&lt;Date_Primary&gt;2011/2&lt;/Date_Primary&gt;&lt;Keywords&gt;An&lt;/Keywords&gt;&lt;Keywords&gt;Child&lt;/Keywords&gt;&lt;Keywords&gt;Child Nutritional Physiological Phenomena&lt;/Keywords&gt;&lt;Keywords&gt;Choice Behavior&lt;/Keywords&gt;&lt;Keywords&gt;Comparative Study&lt;/Keywords&gt;&lt;Keywords&gt;consumption&lt;/Keywords&gt;&lt;Keywords&gt;Cross-Sectional Studies&lt;/Keywords&gt;&lt;Keywords&gt;Diet&lt;/Keywords&gt;&lt;Keywords&gt;England&lt;/Keywords&gt;&lt;Keywords&gt;Fat&lt;/Keywords&gt;&lt;Keywords&gt;Feeding Behavior&lt;/Keywords&gt;&lt;Keywords&gt;Female&lt;/Keywords&gt;&lt;Keywords&gt;Food&lt;/Keywords&gt;&lt;Keywords&gt;Food Preferences&lt;/Keywords&gt;&lt;Keywords&gt;Food Services&lt;/Keywords&gt;&lt;Keywords&gt;Fruit&lt;/Keywords&gt;&lt;Keywords&gt;Humans&lt;/Keywords&gt;&lt;Keywords&gt;Im&lt;/Keywords&gt;&lt;Keywords&gt;Is&lt;/Keywords&gt;&lt;Keywords&gt;London&lt;/Keywords&gt;&lt;Keywords&gt;Lunch&lt;/Keywords&gt;&lt;Keywords&gt;Male&lt;/Keywords&gt;&lt;Keywords&gt;Multicenter Studies&lt;/Keywords&gt;&lt;Keywords&gt;Nutrition Policy&lt;/Keywords&gt;&lt;Keywords&gt;Nutrition Surveys&lt;/Keywords&gt;&lt;Keywords&gt;Nutritive Value&lt;/Keywords&gt;&lt;Keywords&gt;physiology&lt;/Keywords&gt;&lt;Keywords&gt;psychology&lt;/Keywords&gt;&lt;Keywords&gt;Research&lt;/Keywords&gt;&lt;Keywords&gt;sample&lt;/Keywords&gt;&lt;Keywords&gt;Schools&lt;/Keywords&gt;&lt;Keywords&gt;selection&lt;/Keywords&gt;&lt;Keywords&gt;standards&lt;/Keywords&gt;&lt;Keywords&gt;statistics &amp;amp; numerical data&lt;/Keywords&gt;&lt;Keywords&gt;To&lt;/Keywords&gt;&lt;Keywords&gt;trends&lt;/Keywords&gt;&lt;Keywords&gt;Vegetables&lt;/Keywords&gt;&lt;Keywords&gt;Water&lt;/Keywords&gt;&lt;Keywords&gt;weight&lt;/Keywords&gt;&lt;Reprint&gt;Not in File&lt;/Reprint&gt;&lt;Start_Page&gt;209&lt;/Start_Page&gt;&lt;End_Page&gt;218&lt;/End_Page&gt;&lt;Periodical&gt;Public Health Nutr&lt;/Periodical&gt;&lt;Volume&gt;14&lt;/Volume&gt;&lt;Issue&gt;2&lt;/Issue&gt;&lt;Address&gt;School Food Trust, Great Smith Street, London, SW1P 3BT, UK&lt;/Address&gt;&lt;Web_URL&gt;PM:20701821&lt;/Web_URL&gt;&lt;Web_URL_Link1&gt;&lt;u&gt;file://C:\Users\Darmon\Documents\Biblio_Doc\PDF et autres Doc\FBS NBS School Meals UK 2011 PHN.pdf&lt;/u&gt;&lt;/Web_URL_Link1&gt;&lt;ZZ_JournalStdAbbrev&gt;&lt;f name="System"&gt;Public Health Nutr&lt;/f&gt;&lt;/ZZ_JournalStdAbbrev&gt;&lt;ZZ_WorkformID&gt;1&lt;/ZZ_WorkformID&gt;&lt;/MDL&gt;&lt;/Cite&gt;&lt;/Refman&gt;</w:instrText>
      </w:r>
      <w:r w:rsidR="00FF17D2">
        <w:rPr>
          <w:lang w:eastAsia="fr-FR"/>
        </w:rPr>
        <w:fldChar w:fldCharType="separate"/>
      </w:r>
      <w:r w:rsidR="006C5B2D">
        <w:rPr>
          <w:lang w:eastAsia="fr-FR"/>
        </w:rPr>
        <w:t>[38]</w:t>
      </w:r>
      <w:r w:rsidR="00FF17D2">
        <w:rPr>
          <w:lang w:eastAsia="fr-FR"/>
        </w:rPr>
        <w:fldChar w:fldCharType="end"/>
      </w:r>
      <w:r w:rsidRPr="00D836A2">
        <w:t xml:space="preserve">. </w:t>
      </w:r>
      <w:r w:rsidR="003E52C8" w:rsidRPr="00D836A2">
        <w:t xml:space="preserve">Simplified standards </w:t>
      </w:r>
      <w:r w:rsidR="003E52C8" w:rsidRPr="00D836A2">
        <w:lastRenderedPageBreak/>
        <w:t>(7 criteria on food groups to serve or limit) were introduced in 2014, because the previous ones were too difficult to understand and implement</w:t>
      </w:r>
      <w:r w:rsidRPr="00D836A2">
        <w:t xml:space="preserve"> </w:t>
      </w:r>
      <w:r w:rsidR="00FF17D2">
        <w:fldChar w:fldCharType="begin"/>
      </w:r>
      <w:r w:rsidR="006C5B2D">
        <w:instrText xml:space="preserve"> ADDIN REFMGR.CITE &lt;Refman&gt;&lt;Cite&gt;&lt;Author&gt;Dimbleby&lt;/Author&gt;&lt;Year&gt;2013&lt;/Year&gt;&lt;RecNum&gt;5135&lt;/RecNum&gt;&lt;IDText&gt;The School Food Plan&lt;/IDText&gt;&lt;MDL Ref_Type="Journal"&gt;&lt;Ref_Type&gt;Journal&lt;/Ref_Type&gt;&lt;Ref_ID&gt;5135&lt;/Ref_ID&gt;&lt;Title_Primary&gt;The School Food Plan&lt;/Title_Primary&gt;&lt;Authors_Primary&gt;Dimbleby,H.&lt;/Authors_Primary&gt;&lt;Authors_Primary&gt;Vincent,J.&lt;/Authors_Primary&gt;&lt;Date_Primary&gt;2013&lt;/Date_Primary&gt;&lt;Keywords&gt;Food&lt;/Keywords&gt;&lt;Reprint&gt;Not in File&lt;/Reprint&gt;&lt;Start_Page&gt;July 2013&lt;/Start_Page&gt;&lt;Periodical&gt;http://www.schoolfoodplan.com/wp-content/uploads/2013/07/School_Food_Plan_2013.pdf&lt;/Periodical&gt;&lt;ZZ_JournalStdAbbrev&gt;&lt;f name="System"&gt;http://www.schoolfoodplan.com/wp-content/uploads/2013/07/School_Food_Plan_2013.pdf&lt;/f&gt;&lt;/ZZ_JournalStdAbbrev&gt;&lt;ZZ_WorkformID&gt;1&lt;/ZZ_WorkformID&gt;&lt;/MDL&gt;&lt;/Cite&gt;&lt;/Refman&gt;</w:instrText>
      </w:r>
      <w:r w:rsidR="00FF17D2">
        <w:fldChar w:fldCharType="separate"/>
      </w:r>
      <w:r w:rsidR="006C5B2D">
        <w:t>[34]</w:t>
      </w:r>
      <w:r w:rsidR="00FF17D2">
        <w:fldChar w:fldCharType="end"/>
      </w:r>
      <w:r w:rsidR="003E52C8" w:rsidRPr="00D836A2">
        <w:t>.</w:t>
      </w:r>
      <w:r w:rsidR="004F6F72">
        <w:t xml:space="preserve"> However,</w:t>
      </w:r>
      <w:r w:rsidR="004F6F72" w:rsidRPr="00D836A2">
        <w:t xml:space="preserve"> </w:t>
      </w:r>
      <w:r w:rsidR="003E52C8" w:rsidRPr="00D836A2">
        <w:t>the new standards were in turn the subject of debate and criticism, notably regarding insufficient control of fat, saturated fatty acids, free sugars and sodium content</w:t>
      </w:r>
      <w:r w:rsidRPr="00D836A2">
        <w:t xml:space="preserve"> </w:t>
      </w:r>
      <w:r w:rsidR="00FF17D2">
        <w:rPr>
          <w:lang w:eastAsia="fr-FR"/>
        </w:rPr>
        <w:fldChar w:fldCharType="begin"/>
      </w:r>
      <w:r w:rsidR="006C5B2D">
        <w:rPr>
          <w:lang w:eastAsia="fr-FR"/>
        </w:rPr>
        <w:instrText xml:space="preserve"> ADDIN REFMGR.CITE &lt;Refman&gt;&lt;Cite&gt;&lt;Author&gt;Wickramasinghe&lt;/Author&gt;&lt;Year&gt;2016&lt;/Year&gt;&lt;RecNum&gt;5030&lt;/RecNum&gt;&lt;IDText&gt;Contribution of healthy and unhealthy primary school meals to greenhouse gas emissions in England: linking nutritional data and greenhouse gas emission data of diets&lt;/IDText&gt;&lt;MDL Ref_Type="Journal"&gt;&lt;Ref_Type&gt;Journal&lt;/Ref_Type&gt;&lt;Ref_ID&gt;5030&lt;/Ref_ID&gt;&lt;Title_Primary&gt;Contribution of healthy and unhealthy primary school meals to greenhouse gas emissions in England: linking nutritional data and greenhouse gas emission data of diets&lt;/Title_Primary&gt;&lt;Authors_Primary&gt;Wickramasinghe,K.K.&lt;/Authors_Primary&gt;&lt;Authors_Primary&gt;Rayner,M.&lt;/Authors_Primary&gt;&lt;Authors_Primary&gt;Goldacre,M.&lt;/Authors_Primary&gt;&lt;Authors_Primary&gt;Townsend,N.&lt;/Authors_Primary&gt;&lt;Authors_Primary&gt;Scarborough,P.&lt;/Authors_Primary&gt;&lt;Date_Primary&gt;2016/10&lt;/Date_Primary&gt;&lt;Keywords&gt;An&lt;/Keywords&gt;&lt;Keywords&gt;children&lt;/Keywords&gt;&lt;Keywords&gt;Diet&lt;/Keywords&gt;&lt;Keywords&gt;disease&lt;/Keywords&gt;&lt;Keywords&gt;England&lt;/Keywords&gt;&lt;Keywords&gt;epidemiology&lt;/Keywords&gt;&lt;Keywords&gt;Fat&lt;/Keywords&gt;&lt;Keywords&gt;Food&lt;/Keywords&gt;&lt;Keywords&gt;health&lt;/Keywords&gt;&lt;Keywords&gt;Is&lt;/Keywords&gt;&lt;Keywords&gt;level&lt;/Keywords&gt;&lt;Keywords&gt;Lunch&lt;/Keywords&gt;&lt;Keywords&gt;Meals&lt;/Keywords&gt;&lt;Keywords&gt;Meat&lt;/Keywords&gt;&lt;Keywords&gt;population&lt;/Keywords&gt;&lt;Keywords&gt;sample&lt;/Keywords&gt;&lt;Keywords&gt;Schools&lt;/Keywords&gt;&lt;Keywords&gt;Students&lt;/Keywords&gt;&lt;Keywords&gt;To&lt;/Keywords&gt;&lt;Keywords&gt;Universities&lt;/Keywords&gt;&lt;Reprint&gt;Not in File&lt;/Reprint&gt;&lt;Start_Page&gt;1162&lt;/Start_Page&gt;&lt;End_Page&gt;1167&lt;/End_Page&gt;&lt;Periodical&gt;Eur.J Clin.Nutr&lt;/Periodical&gt;&lt;Volume&gt;70&lt;/Volume&gt;&lt;Issue&gt;10&lt;/Issue&gt;&lt;Address&gt;British Heart Foundation Centre on Population Approaches for Non-Communicable Disease Prevention, Nuffield Department of Population Health, University of Oxford, Oxford, UK&amp;#xA;British Heart Foundation Centre on Population Approaches for Non-Communicable Disease Prevention, Nuffield Department of Population Health, University of Oxford, Oxford, UK&amp;#xA;Unit of Health Care Epidemiology, Nuffield Department of Population Health, University of Oxford, Oxford, UK&amp;#xA;British Heart Foundation Centre on Population Approaches for Non-Communicable Disease Prevention, Nuffield Department of Population Health, University of Oxford, Oxford, UK&amp;#xA;British Heart Foundation Centre on Population Approaches for Non-Communicable Disease Prevention, Nuffield Department of Population Health, University of Oxford, Oxford, UK&lt;/Address&gt;&lt;Web_URL&gt;PM:27329613&lt;/Web_URL&gt;&lt;Web_URL_Link1&gt;&lt;u&gt;file://C:\Users\Darmon\Documents\Projets_ANR\OCAD\Biblio Environnement\GHGE School meals Rayner 2016.pdf&lt;/u&gt;&lt;/Web_URL_Link1&gt;&lt;ZZ_JournalStdAbbrev&gt;&lt;f name="System"&gt;Eur.J Clin.Nutr&lt;/f&gt;&lt;/ZZ_JournalStdAbbrev&gt;&lt;ZZ_WorkformID&gt;1&lt;/ZZ_WorkformID&gt;&lt;/MDL&gt;&lt;/Cite&gt;&lt;/Refman&gt;</w:instrText>
      </w:r>
      <w:r w:rsidR="00FF17D2">
        <w:rPr>
          <w:lang w:eastAsia="fr-FR"/>
        </w:rPr>
        <w:fldChar w:fldCharType="separate"/>
      </w:r>
      <w:r w:rsidR="006C5B2D">
        <w:rPr>
          <w:lang w:eastAsia="fr-FR"/>
        </w:rPr>
        <w:t>[36]</w:t>
      </w:r>
      <w:r w:rsidR="00FF17D2">
        <w:rPr>
          <w:lang w:eastAsia="fr-FR"/>
        </w:rPr>
        <w:fldChar w:fldCharType="end"/>
      </w:r>
      <w:r w:rsidRPr="00D836A2">
        <w:t xml:space="preserve">. Our study suggests that an approach such as the one adopted in French </w:t>
      </w:r>
      <w:r w:rsidR="004F6F72">
        <w:t xml:space="preserve">school food </w:t>
      </w:r>
      <w:r w:rsidR="005E214A" w:rsidRPr="00D836A2">
        <w:t>guidelines</w:t>
      </w:r>
      <w:r w:rsidRPr="00D836A2">
        <w:t xml:space="preserve">, which combine </w:t>
      </w:r>
      <w:r w:rsidR="003E52C8" w:rsidRPr="00D836A2">
        <w:t xml:space="preserve">characteristics </w:t>
      </w:r>
      <w:r w:rsidRPr="00D836A2">
        <w:t>linked to the food, its nutrient composition and its service frequency in the same criteria, allow for good control of the nutritional quality of meals served to children.</w:t>
      </w:r>
      <w:r w:rsidRPr="00D836A2">
        <w:rPr>
          <w:b/>
        </w:rPr>
        <w:t xml:space="preserve"> </w:t>
      </w:r>
    </w:p>
    <w:p w:rsidR="00BB0195" w:rsidRDefault="00726473" w:rsidP="00726473">
      <w:pPr>
        <w:pStyle w:val="MDPI31text"/>
      </w:pPr>
      <w:r>
        <w:t>P</w:t>
      </w:r>
      <w:r w:rsidRPr="00726473">
        <w:t xml:space="preserve">rotein dishes </w:t>
      </w:r>
      <w:r>
        <w:t xml:space="preserve">are important contributors to </w:t>
      </w:r>
      <w:r w:rsidRPr="00726473">
        <w:t xml:space="preserve">greenhouse gas emissions and </w:t>
      </w:r>
      <w:r>
        <w:t xml:space="preserve">food </w:t>
      </w:r>
      <w:r w:rsidRPr="00726473">
        <w:t>waste</w:t>
      </w:r>
      <w:r>
        <w:t xml:space="preserve"> in</w:t>
      </w:r>
      <w:r w:rsidRPr="00726473">
        <w:t xml:space="preserve"> school </w:t>
      </w:r>
      <w:r>
        <w:t xml:space="preserve">meals </w:t>
      </w:r>
      <w:r w:rsidR="00FF17D2">
        <w:fldChar w:fldCharType="begin"/>
      </w:r>
      <w:r w:rsidRPr="00726473">
        <w:instrText xml:space="preserve"> ADDIN REFMGR.CITE &lt;Refman&gt;&lt;Cite&gt;&lt;Author&gt;Wickramasinghe&lt;/Author&gt;&lt;Year&gt;2016&lt;/Year&gt;&lt;RecNum&gt;5030&lt;/RecNum&gt;&lt;IDText&gt;Contribution of healthy and unhealthy primary school meals to greenhouse gas emissions in England: linking nutritional data and greenhouse gas emission data of diets&lt;/IDText&gt;&lt;MDL Ref_Type="Journal"&gt;&lt;Ref_Type&gt;Journal&lt;/Ref_Type&gt;&lt;Ref_ID&gt;5030&lt;/Ref_ID&gt;&lt;Title_Primary&gt;Contribution of healthy and unhealthy primary school meals to greenhouse gas emissions in England: linking nutritional data and greenhouse gas emission data of diets&lt;/Title_Primary&gt;&lt;Authors_Primary&gt;Wickramasinghe,K.K.&lt;/Authors_Primary&gt;&lt;Authors_Primary&gt;Rayner,M.&lt;/Authors_Primary&gt;&lt;Authors_Primary&gt;Goldacre,M.&lt;/Authors_Primary&gt;&lt;Authors_Primary&gt;Townsend,N.&lt;/Authors_Primary&gt;&lt;Authors_Primary&gt;Scarborough,P.&lt;/Authors_Primary&gt;&lt;Date_Primary&gt;2016/10&lt;/Date_Primary&gt;&lt;Keywords&gt;An&lt;/Keywords&gt;&lt;Keywords&gt;children&lt;/Keywords&gt;&lt;Keywords&gt;Diet&lt;/Keywords&gt;&lt;Keywords&gt;disease&lt;/Keywords&gt;&lt;Keywords&gt;England&lt;/Keywords&gt;&lt;Keywords&gt;epidemiology&lt;/Keywords&gt;&lt;Keywords&gt;Fat&lt;/Keywords&gt;&lt;Keywords&gt;Food&lt;/Keywords&gt;&lt;Keywords&gt;health&lt;/Keywords&gt;&lt;Keywords&gt;Is&lt;/Keywords&gt;&lt;Keywords&gt;level&lt;/Keywords&gt;&lt;Keywords&gt;Lunch&lt;/Keywords&gt;&lt;Keywords&gt;Meals&lt;/Keywords&gt;&lt;Keywords&gt;Meat&lt;/Keywords&gt;&lt;Keywords&gt;population&lt;/Keywords&gt;&lt;Keywords&gt;sample&lt;/Keywords&gt;&lt;Keywords&gt;Schools&lt;/Keywords&gt;&lt;Keywords&gt;Students&lt;/Keywords&gt;&lt;Keywords&gt;To&lt;/Keywords&gt;&lt;Keywords&gt;Universities&lt;/Keywords&gt;&lt;Reprint&gt;Not in File&lt;/Reprint&gt;&lt;Start_Page&gt;1162&lt;/Start_Page&gt;&lt;End_Page&gt;1167&lt;/End_Page&gt;&lt;Periodical&gt;Eur.J Clin.Nutr&lt;/Periodical&gt;&lt;Volume&gt;70&lt;/Volume&gt;&lt;Issue&gt;10&lt;/Issue&gt;&lt;Address&gt;British Heart Foundation Centre on Population Approaches for Non-Communicable Disease Prevention, Nuffield Department of Population Health, University of Oxford, Oxford, UK&amp;#xA;British Heart Foundation Centre on Population Approaches for Non-Communicable Disease Prevention, Nuffield Department of Population Health, University of Oxford, Oxford, UK&amp;#xA;Unit of Health Care Epidemiology, Nuffield Department of Population Health, University of Oxford, Oxford, UK&amp;#xA;British Heart Foundation Centre on Population Approaches for Non-Communicable Disease Prevention, Nuffield Department of Population Health, University of Oxford, Oxford, UK&amp;#xA;British Heart Foundation Centre on Population Approaches for Non-Communicable Disease Prevention, Nuffield Department of Population Health, University of Oxford, Oxford, UK&lt;/Address&gt;&lt;Web_URL&gt;PM:27329613&lt;/Web_URL&gt;&lt;Web_URL_Link1&gt;&lt;u&gt;file://C:\Users\Darmon\Documents\Projets_ANR\OCAD\Biblio Environnement\GHGE School meals Rayner 2016.pdf&lt;/u&gt;&lt;/Web_URL_Link1&gt;&lt;ZZ_JournalStdAbbrev&gt;&lt;f name="System"&gt;Eur.J Clin.Nutr&lt;/f&gt;&lt;/ZZ_JournalStdAbbrev&gt;&lt;ZZ_WorkformID&gt;1&lt;/ZZ_WorkformID&gt;&lt;/MDL&gt;&lt;/Cite&gt;&lt;/Refman&gt;</w:instrText>
      </w:r>
      <w:r w:rsidR="00FF17D2">
        <w:fldChar w:fldCharType="separate"/>
      </w:r>
      <w:r w:rsidRPr="00726473">
        <w:t>[36]</w:t>
      </w:r>
      <w:r w:rsidR="00FF17D2">
        <w:fldChar w:fldCharType="end"/>
      </w:r>
      <w:r w:rsidRPr="00857C62">
        <w:t xml:space="preserve">, </w:t>
      </w:r>
      <w:r w:rsidRPr="00726473">
        <w:t>representing new challenges for this</w:t>
      </w:r>
      <w:r w:rsidR="00AE0201">
        <w:t xml:space="preserve"> food</w:t>
      </w:r>
      <w:r w:rsidRPr="00726473">
        <w:t xml:space="preserve"> sector </w:t>
      </w:r>
      <w:r w:rsidR="00FF17D2">
        <w:fldChar w:fldCharType="begin"/>
      </w:r>
      <w:r w:rsidRPr="00726473">
        <w:instrText xml:space="preserve"> ADDIN REFMGR.CITE &lt;Refman&gt;&lt;Cite&gt;&lt;Author&gt;Agence de l&amp;apos;environnement et la ma&amp;#xEE;trise de l&amp;apos;&amp;#xE9;nergie (ADEME)&lt;/Author&gt;&lt;Year&gt;2016&lt;/Year&gt;&lt;RecNum&gt;5120&lt;/RecNum&gt;&lt;IDText&gt;Approche du co&amp;#xFB;t complet des pertes et gaspillage alimentaire en restauration collective&lt;/IDText&gt;&lt;MDL Ref_Type="Journal"&gt;&lt;Ref_Type&gt;Journal&lt;/Ref_Type&gt;&lt;Ref_ID&gt;5120&lt;/Ref_ID&gt;&lt;Title_Primary&gt;Approche du co&amp;#xFB;t complet des pertes et gaspillage alimentaire en restauration collective&lt;/Title_Primary&gt;&lt;Authors_Primary&gt;Agence de l&amp;apos;environnement et la ma&amp;#xEE;trise de l&amp;apos;&amp;#xE9;nergie (ADEME)&lt;/Authors_Primary&gt;&lt;Date_Primary&gt;2016&lt;/Date_Primary&gt;&lt;Keywords&gt;Du&lt;/Keywords&gt;&lt;Keywords&gt;De&lt;/Keywords&gt;&lt;Keywords&gt;Et&lt;/Keywords&gt;&lt;Keywords&gt;en&lt;/Keywords&gt;&lt;Reprint&gt;Not in File&lt;/Reprint&gt;&lt;Periodical&gt;Rapport d&amp;apos;&amp;#xE9;tude&lt;/Periodical&gt;&lt;Volume&gt;Etude r&amp;#xE9;alis&amp;#xE9;e pour le compte de l&amp;apos;ADEME par VerdiCit&amp;#xE9; et ClimatMundi&lt;/Volume&gt;&lt;Web_URL&gt;&lt;u&gt;http://www.rhone-alpes.ademe.fr/sites/default/files/files/actualites/a_laune/cout-complet-pertes-gaspillage-restauration-collective-rapport.pdf&lt;/u&gt;&lt;/Web_URL&gt;&lt;ZZ_JournalFull&gt;&lt;f name="System"&gt;Rapport d&amp;apos;&amp;#xE9;tude&lt;/f&gt;&lt;/ZZ_JournalFull&gt;&lt;ZZ_WorkformID&gt;1&lt;/ZZ_WorkformID&gt;&lt;/MDL&gt;&lt;/Cite&gt;&lt;/Refman&gt;</w:instrText>
      </w:r>
      <w:r w:rsidR="00FF17D2">
        <w:fldChar w:fldCharType="separate"/>
      </w:r>
      <w:r w:rsidRPr="00726473">
        <w:t>[20]</w:t>
      </w:r>
      <w:r w:rsidR="00FF17D2">
        <w:fldChar w:fldCharType="end"/>
      </w:r>
      <w:r>
        <w:t>.</w:t>
      </w:r>
      <w:r w:rsidR="00B4769A">
        <w:t xml:space="preserve"> </w:t>
      </w:r>
      <w:r w:rsidR="00D43FA0" w:rsidRPr="00D836A2">
        <w:t xml:space="preserve">However, the present study showed that their suppression would </w:t>
      </w:r>
      <w:r w:rsidR="004808A9">
        <w:t>deteriorate</w:t>
      </w:r>
      <w:r w:rsidR="00D43FA0" w:rsidRPr="00D836A2">
        <w:t xml:space="preserve"> the nutritional quality of series, as would replacing protein dishes containing meat or fish </w:t>
      </w:r>
      <w:r w:rsidR="004F6F72">
        <w:t>with</w:t>
      </w:r>
      <w:r w:rsidR="004F6F72" w:rsidRPr="00D836A2">
        <w:t xml:space="preserve"> </w:t>
      </w:r>
      <w:r w:rsidR="00D43FA0" w:rsidRPr="00D836A2">
        <w:t>dishes that do not contain meat or fish. The poor nutritional performance of the “Removal of the Protein Dish with No Replacement” scenario can be explained by the major contribution of protein dishes to the content of many essential nutrients (</w:t>
      </w:r>
      <w:r w:rsidR="00E32C95" w:rsidRPr="00D836A2">
        <w:t>Figure A1</w:t>
      </w:r>
      <w:r w:rsidR="00D43FA0" w:rsidRPr="00D836A2">
        <w:t xml:space="preserve">). </w:t>
      </w:r>
      <w:r w:rsidR="004808A9">
        <w:t xml:space="preserve">But the poor performance of the </w:t>
      </w:r>
      <w:r w:rsidR="00376C3B" w:rsidRPr="003632CF">
        <w:t>“Replacement of Meat and Fish by Other Dishes” scenario</w:t>
      </w:r>
      <w:r w:rsidR="004808A9" w:rsidRPr="004C2008">
        <w:t xml:space="preserve"> is likely due to the mediocre nutritional quality of the </w:t>
      </w:r>
      <w:r w:rsidR="00376C3B" w:rsidRPr="003632CF">
        <w:t xml:space="preserve">dishes without meat or fish. </w:t>
      </w:r>
      <w:r w:rsidR="004808A9" w:rsidRPr="004C2008">
        <w:t>Indeed, in the observed series, protein dishes without meat or fish were mostly based on eggs and/or cheese and grains, and lacked diversity</w:t>
      </w:r>
      <w:r w:rsidR="003632CF">
        <w:t xml:space="preserve"> (data not shown)</w:t>
      </w:r>
      <w:r w:rsidR="004808A9" w:rsidRPr="004C2008">
        <w:t xml:space="preserve">. Partners were therefore asked to provide additional protein dishes without meat or fish, especially plant-based protein dishes. </w:t>
      </w:r>
      <w:r w:rsidR="00376C3B" w:rsidRPr="003632CF">
        <w:t xml:space="preserve">However, despite this precaution, series modeled with the “no meat no fish” </w:t>
      </w:r>
      <w:r w:rsidR="00AE0201">
        <w:t xml:space="preserve">scenario </w:t>
      </w:r>
      <w:r w:rsidR="00376C3B" w:rsidRPr="003632CF">
        <w:t xml:space="preserve">were of lesser nutritional quality than </w:t>
      </w:r>
      <w:r w:rsidR="00AE0201">
        <w:t xml:space="preserve">with the </w:t>
      </w:r>
      <w:r w:rsidR="00D43FA0" w:rsidRPr="00D836A2">
        <w:t>observed s</w:t>
      </w:r>
      <w:r w:rsidR="00AE0201">
        <w:t>cenario</w:t>
      </w:r>
      <w:r w:rsidR="00D43FA0" w:rsidRPr="00D836A2">
        <w:t xml:space="preserve">. </w:t>
      </w:r>
      <w:r w:rsidR="00DC1F89">
        <w:t>Th</w:t>
      </w:r>
      <w:r w:rsidR="00773BC1">
        <w:t xml:space="preserve">is </w:t>
      </w:r>
      <w:r w:rsidR="00BA2AFE">
        <w:t xml:space="preserve">seems to confirm that </w:t>
      </w:r>
      <w:r w:rsidR="003632CF">
        <w:t xml:space="preserve">it is nutritionally relevant to limit </w:t>
      </w:r>
      <w:r w:rsidR="00A6298C" w:rsidRPr="00D836A2">
        <w:t>“protein dishes containing less than 70% of recommended weight for th</w:t>
      </w:r>
      <w:r w:rsidR="00DC1F89">
        <w:t>e portion of meat, fish or eggs</w:t>
      </w:r>
      <w:r w:rsidR="003632CF">
        <w:t>”</w:t>
      </w:r>
      <w:r w:rsidR="00A6298C" w:rsidRPr="00D836A2">
        <w:t xml:space="preserve"> </w:t>
      </w:r>
      <w:r w:rsidR="00BA2AFE">
        <w:t xml:space="preserve">to </w:t>
      </w:r>
      <w:r w:rsidR="00A6298C" w:rsidRPr="00D836A2">
        <w:t>3/20 max</w:t>
      </w:r>
      <w:r w:rsidR="00A6298C">
        <w:t xml:space="preserve">. </w:t>
      </w:r>
      <w:r w:rsidR="00DC1F89">
        <w:t>However,</w:t>
      </w:r>
      <w:r w:rsidR="00BA2AFE" w:rsidRPr="00BA2AFE">
        <w:t xml:space="preserve"> </w:t>
      </w:r>
      <w:r w:rsidR="00580D3B">
        <w:t>the large majority (75%) of the</w:t>
      </w:r>
      <w:r w:rsidR="00BA2AFE">
        <w:t xml:space="preserve"> observed series </w:t>
      </w:r>
      <w:r w:rsidR="00580D3B">
        <w:t xml:space="preserve">did not fulfill this criterion, </w:t>
      </w:r>
      <w:r w:rsidR="00C819FE">
        <w:t>suggesting that it could be useful to modify it. The present results suggest that it</w:t>
      </w:r>
      <w:r w:rsidR="004808A9">
        <w:t xml:space="preserve"> could</w:t>
      </w:r>
      <w:r w:rsidR="00580D3B">
        <w:t xml:space="preserve"> </w:t>
      </w:r>
      <w:r w:rsidR="00C819FE">
        <w:t xml:space="preserve">be </w:t>
      </w:r>
      <w:r w:rsidR="00580D3B">
        <w:t xml:space="preserve">interesting </w:t>
      </w:r>
      <w:r w:rsidR="004808A9">
        <w:t xml:space="preserve">to include in the guidelines </w:t>
      </w:r>
      <w:r w:rsidR="00580D3B">
        <w:t xml:space="preserve">a </w:t>
      </w:r>
      <w:r w:rsidR="00810EC2">
        <w:t xml:space="preserve">positive definition of </w:t>
      </w:r>
      <w:r w:rsidR="00580D3B">
        <w:t xml:space="preserve">the expected nutritional characteristics of </w:t>
      </w:r>
      <w:r w:rsidR="00810EC2">
        <w:t>vegetarian dish</w:t>
      </w:r>
      <w:r w:rsidR="00C819FE">
        <w:t>es</w:t>
      </w:r>
      <w:r w:rsidR="00AE0201">
        <w:t>,</w:t>
      </w:r>
      <w:r w:rsidR="00810EC2">
        <w:t xml:space="preserve"> </w:t>
      </w:r>
      <w:r w:rsidR="00C819FE">
        <w:t xml:space="preserve">and </w:t>
      </w:r>
      <w:r w:rsidR="00AE0201">
        <w:t xml:space="preserve">to determine </w:t>
      </w:r>
      <w:r w:rsidR="00C819FE">
        <w:t>how often they</w:t>
      </w:r>
      <w:r w:rsidR="00810EC2">
        <w:t xml:space="preserve"> could be served to children</w:t>
      </w:r>
      <w:r w:rsidR="00D43FA0" w:rsidRPr="00D836A2">
        <w:t xml:space="preserve">. </w:t>
      </w:r>
      <w:r w:rsidR="0029181E" w:rsidRPr="00D836A2">
        <w:t xml:space="preserve">For instance, a new frequency criterion </w:t>
      </w:r>
      <w:r w:rsidR="004E4D07" w:rsidRPr="00D836A2">
        <w:t>could be developed</w:t>
      </w:r>
      <w:r w:rsidR="005F36E7" w:rsidRPr="00D836A2">
        <w:t xml:space="preserve"> </w:t>
      </w:r>
      <w:r w:rsidR="0029181E" w:rsidRPr="00D836A2">
        <w:t xml:space="preserve">for dishes </w:t>
      </w:r>
      <w:r w:rsidR="004E4D07" w:rsidRPr="00D836A2">
        <w:t xml:space="preserve">combining pulses and whole grains, considering that they are good sources of fibers, micronutrients and proteins, but </w:t>
      </w:r>
      <w:r w:rsidR="005F36E7" w:rsidRPr="00D836A2">
        <w:t xml:space="preserve">also taking into account that </w:t>
      </w:r>
      <w:r w:rsidR="004E4D07" w:rsidRPr="00D836A2">
        <w:t xml:space="preserve">they contain </w:t>
      </w:r>
      <w:r w:rsidR="004E4D07" w:rsidRPr="00D836A2">
        <w:rPr>
          <w:snapToGrid/>
        </w:rPr>
        <w:t>anti-nutritional factors that adversely influence the bioavailability of nutrients</w:t>
      </w:r>
      <w:r w:rsidR="005F36E7" w:rsidRPr="00D836A2">
        <w:rPr>
          <w:snapToGrid/>
        </w:rPr>
        <w:t xml:space="preserve"> (</w:t>
      </w:r>
      <w:r w:rsidR="004E4D07" w:rsidRPr="00D836A2">
        <w:t xml:space="preserve">i.e. the amount of ingested nutrient effectively available for the organism </w:t>
      </w:r>
      <w:r w:rsidR="00FF17D2">
        <w:fldChar w:fldCharType="begin"/>
      </w:r>
      <w:r w:rsidR="006C5B2D">
        <w:instrText xml:space="preserve"> ADDIN REFMGR.CITE &lt;Refman&gt;&lt;Cite&gt;&lt;Author&gt;Gibson&lt;/Author&gt;&lt;Year&gt;2007&lt;/Year&gt;&lt;RecNum&gt;5133&lt;/RecNum&gt;&lt;IDText&gt;The role of diet- and host-related factors in nutrient bioavailability and thus in nutrient-based dietary requirement estimates&lt;/IDText&gt;&lt;MDL Ref_Type="Journal"&gt;&lt;Ref_Type&gt;Journal&lt;/Ref_Type&gt;&lt;Ref_ID&gt;5133&lt;/Ref_ID&gt;&lt;Title_Primary&gt;The role of diet- and host-related factors in nutrient bioavailability and thus in nutrient-based dietary requirement estimates&lt;/Title_Primary&gt;&lt;Authors_Primary&gt;Gibson,R.S.&lt;/Authors_Primary&gt;&lt;Date_Primary&gt;2007/3&lt;/Date_Primary&gt;&lt;Keywords&gt;administration &amp;amp; dosage&lt;/Keywords&gt;&lt;Keywords&gt;age&lt;/Keywords&gt;&lt;Keywords&gt;Age Factors&lt;/Keywords&gt;&lt;Keywords&gt;Algorithms&lt;/Keywords&gt;&lt;Keywords&gt;Biological Availability&lt;/Keywords&gt;&lt;Keywords&gt;calcium&lt;/Keywords&gt;&lt;Keywords&gt;Carotenoids&lt;/Keywords&gt;&lt;Keywords&gt;Component&lt;/Keywords&gt;&lt;Keywords&gt;countries&lt;/Keywords&gt;&lt;Keywords&gt;Diet&lt;/Keywords&gt;&lt;Keywords&gt;DIETARY&lt;/Keywords&gt;&lt;Keywords&gt;disease&lt;/Keywords&gt;&lt;Keywords&gt;Food&lt;/Keywords&gt;&lt;Keywords&gt;Food Handling&lt;/Keywords&gt;&lt;Keywords&gt;Health Status&lt;/Keywords&gt;&lt;Keywords&gt;Human&lt;/Keywords&gt;&lt;Keywords&gt;Humans&lt;/Keywords&gt;&lt;Keywords&gt;Im&lt;/Keywords&gt;&lt;Keywords&gt;Intestinal Absorption&lt;/Keywords&gt;&lt;Keywords&gt;Intestinal Mucosa&lt;/Keywords&gt;&lt;Keywords&gt;Iron&lt;/Keywords&gt;&lt;Keywords&gt;Is&lt;/Keywords&gt;&lt;Keywords&gt;Magnesium&lt;/Keywords&gt;&lt;Keywords&gt;methods&lt;/Keywords&gt;&lt;Keywords&gt;Micronutrients&lt;/Keywords&gt;&lt;Keywords&gt;New Zealand&lt;/Keywords&gt;&lt;Keywords&gt;Nutrient&lt;/Keywords&gt;&lt;Keywords&gt;Nutrition&lt;/Keywords&gt;&lt;Keywords&gt;Nutritional Physiological Phenomena&lt;/Keywords&gt;&lt;Keywords&gt;Nutritional Requirements&lt;/Keywords&gt;&lt;Keywords&gt;Nutritional Status&lt;/Keywords&gt;&lt;Keywords&gt;Nutritive Value&lt;/Keywords&gt;&lt;Keywords&gt;Permeability&lt;/Keywords&gt;&lt;Keywords&gt;pharmacokinetics&lt;/Keywords&gt;&lt;Keywords&gt;physiology&lt;/Keywords&gt;&lt;Keywords&gt;Pregnancy&lt;/Keywords&gt;&lt;Keywords&gt;protein&lt;/Keywords&gt;&lt;Keywords&gt;Reduction&lt;/Keywords&gt;&lt;Keywords&gt;Region&lt;/Keywords&gt;&lt;Keywords&gt;secretion&lt;/Keywords&gt;&lt;Keywords&gt;Sex Factors&lt;/Keywords&gt;&lt;Keywords&gt;standards&lt;/Keywords&gt;&lt;Keywords&gt;To&lt;/Keywords&gt;&lt;Keywords&gt;Universities&lt;/Keywords&gt;&lt;Keywords&gt;vitamin&lt;/Keywords&gt;&lt;Keywords&gt;Vitamin A&lt;/Keywords&gt;&lt;Keywords&gt;Zinc&lt;/Keywords&gt;&lt;Reprint&gt;Not in File&lt;/Reprint&gt;&lt;Start_Page&gt;S77&lt;/Start_Page&gt;&lt;End_Page&gt;100&lt;/End_Page&gt;&lt;Periodical&gt;Food Nutr Bull&lt;/Periodical&gt;&lt;Volume&gt;28&lt;/Volume&gt;&lt;Issue&gt;1 Suppl International&lt;/Issue&gt;&lt;Address&gt;Department of Human Nutrition, University of Otago, New Zealand. Rosalind.Gibson@stonebow.otago.ac.nz&lt;/Address&gt;&lt;Web_URL&gt;PM:17521121&lt;/Web_URL&gt;&lt;ZZ_JournalStdAbbrev&gt;&lt;f name="System"&gt;Food Nutr Bull&lt;/f&gt;&lt;/ZZ_JournalStdAbbrev&gt;&lt;ZZ_WorkformID&gt;1&lt;/ZZ_WorkformID&gt;&lt;/MDL&gt;&lt;/Cite&gt;&lt;Cite&gt;&lt;Author&gt;Millward&lt;/Author&gt;&lt;Year&gt;2010&lt;/Year&gt;&lt;RecNum&gt;3859&lt;/RecNum&gt;&lt;IDText&gt;Plenary Lecture 3: Food and the planet: nutritional dilemmas of greenhouse gas emission reductions through reduced intakes of meat and dairy foods&lt;/IDText&gt;&lt;MDL Ref_Type="Journal"&gt;&lt;Ref_Type&gt;Journal&lt;/Ref_Type&gt;&lt;Ref_ID&gt;3859&lt;/Ref_ID&gt;&lt;Title_Primary&gt;Plenary Lecture 3: Food and the planet: nutritional dilemmas of greenhouse gas emission reductions through reduced intakes of meat and dairy foods&lt;/Title_Primary&gt;&lt;Authors_Primary&gt;Millward,D.J.&lt;/Authors_Primary&gt;&lt;Authors_Primary&gt;Garnett,T.&lt;/Authors_Primary&gt;&lt;Date_Primary&gt;2010/2&lt;/Date_Primary&gt;&lt;Keywords&gt;An&lt;/Keywords&gt;&lt;Keywords&gt;Child&lt;/Keywords&gt;&lt;Keywords&gt;children&lt;/Keywords&gt;&lt;Keywords&gt;consumption&lt;/Keywords&gt;&lt;Keywords&gt;Dairy Products&lt;/Keywords&gt;&lt;Keywords&gt;DIETARY&lt;/Keywords&gt;&lt;Keywords&gt;Fat&lt;/Keywords&gt;&lt;Keywords&gt;Food&lt;/Keywords&gt;&lt;Keywords&gt;Growth&lt;/Keywords&gt;&lt;Keywords&gt;health&lt;/Keywords&gt;&lt;Keywords&gt;Im&lt;/Keywords&gt;&lt;Keywords&gt;Intake&lt;/Keywords&gt;&lt;Keywords&gt;Iodine&lt;/Keywords&gt;&lt;Keywords&gt;Is&lt;/Keywords&gt;&lt;Keywords&gt;Meat&lt;/Keywords&gt;&lt;Keywords&gt;Milk&lt;/Keywords&gt;&lt;Keywords&gt;Moderate&lt;/Keywords&gt;&lt;Keywords&gt;Morbidity&lt;/Keywords&gt;&lt;Keywords&gt;Mortality&lt;/Keywords&gt;&lt;Keywords&gt;Nutrient&lt;/Keywords&gt;&lt;Keywords&gt;Nutritional Sciences&lt;/Keywords&gt;&lt;Keywords&gt;Nutritional Status&lt;/Keywords&gt;&lt;Keywords&gt;nutritional-status&lt;/Keywords&gt;&lt;Keywords&gt;population&lt;/Keywords&gt;&lt;Keywords&gt;protein&lt;/Keywords&gt;&lt;Keywords&gt;Public Health&lt;/Keywords&gt;&lt;Keywords&gt;Reduction&lt;/Keywords&gt;&lt;Keywords&gt;Research&lt;/Keywords&gt;&lt;Keywords&gt;Riboflavin&lt;/Keywords&gt;&lt;Keywords&gt;Risk&lt;/Keywords&gt;&lt;Keywords&gt;To&lt;/Keywords&gt;&lt;Keywords&gt;Universities&lt;/Keywords&gt;&lt;Keywords&gt;vitamin&lt;/Keywords&gt;&lt;Keywords&gt;Women&lt;/Keywords&gt;&lt;Reprint&gt;Not in File&lt;/Reprint&gt;&lt;Start_Page&gt;103&lt;/Start_Page&gt;&lt;End_Page&gt;118&lt;/End_Page&gt;&lt;Periodical&gt;Proc.Nutr Soc.&lt;/Periodical&gt;&lt;Volume&gt;69&lt;/Volume&gt;&lt;Issue&gt;1&lt;/Issue&gt;&lt;Address&gt;Division of Nutritional Sciences, Faculty of Health and Medical Sciences, University of Surrey, Guildford GU2 7XH, UK. d.millward@surrey.ac.uk&lt;/Address&gt;&lt;Web_URL&gt;PM:20003639&lt;/Web_URL&gt;&lt;Web_URL_Link1&gt;&lt;u&gt;file://C:\Documents and Settings\Administrateur\Mes documents\Biblio_Doc\PDF et autres Doc\Meat Nutritional Dilemna Proc Nut Soc 2009.pdf&lt;/u&gt;&lt;/Web_URL_Link1&gt;&lt;ZZ_JournalStdAbbrev&gt;&lt;f name="System"&gt;Proc.Nutr Soc.&lt;/f&gt;&lt;/ZZ_JournalStdAbbrev&gt;&lt;ZZ_WorkformID&gt;1&lt;/ZZ_WorkformID&gt;&lt;/MDL&gt;&lt;/Cite&gt;&lt;/Refman&gt;</w:instrText>
      </w:r>
      <w:r w:rsidR="00FF17D2">
        <w:fldChar w:fldCharType="separate"/>
      </w:r>
      <w:r w:rsidR="006C5B2D">
        <w:t>[39,40]</w:t>
      </w:r>
      <w:r w:rsidR="00FF17D2">
        <w:fldChar w:fldCharType="end"/>
      </w:r>
      <w:r w:rsidR="00580D3B">
        <w:t>)</w:t>
      </w:r>
      <w:r w:rsidR="0029181E" w:rsidRPr="00D836A2">
        <w:t>.</w:t>
      </w:r>
      <w:r w:rsidR="004E4D07" w:rsidRPr="00D836A2">
        <w:t xml:space="preserve"> </w:t>
      </w:r>
      <w:r w:rsidR="00D43FA0" w:rsidRPr="00D836A2">
        <w:t>More generally, the</w:t>
      </w:r>
      <w:r w:rsidR="0029181E" w:rsidRPr="00D836A2">
        <w:t xml:space="preserve"> present </w:t>
      </w:r>
      <w:r w:rsidR="00D43FA0" w:rsidRPr="00D836A2">
        <w:t xml:space="preserve">results </w:t>
      </w:r>
      <w:r w:rsidR="00BB0195">
        <w:t>show</w:t>
      </w:r>
      <w:r w:rsidR="00D43FA0" w:rsidRPr="00D836A2">
        <w:t xml:space="preserve"> that </w:t>
      </w:r>
      <w:r w:rsidR="00C819FE">
        <w:t xml:space="preserve">meeting </w:t>
      </w:r>
      <w:r w:rsidR="00D43FA0" w:rsidRPr="00D836A2">
        <w:t xml:space="preserve">nutritional requirements </w:t>
      </w:r>
      <w:r w:rsidR="00C819FE">
        <w:t xml:space="preserve">is </w:t>
      </w:r>
      <w:r w:rsidR="00D43FA0" w:rsidRPr="00D836A2">
        <w:t>not necessarily compatible with reducing consumption of animal products</w:t>
      </w:r>
      <w:r w:rsidR="00AE0201">
        <w:t>, although</w:t>
      </w:r>
      <w:r w:rsidR="00D43FA0" w:rsidRPr="00D836A2">
        <w:t xml:space="preserve"> </w:t>
      </w:r>
      <w:r w:rsidR="00AE0201">
        <w:t>the latter is recommended</w:t>
      </w:r>
      <w:r w:rsidR="00BC7950">
        <w:t xml:space="preserve"> to lower</w:t>
      </w:r>
      <w:r w:rsidR="00D43FA0" w:rsidRPr="00D836A2">
        <w:t xml:space="preserve"> the carbon footprint of our </w:t>
      </w:r>
      <w:r w:rsidR="003E52C8" w:rsidRPr="00D836A2">
        <w:t xml:space="preserve">diet </w:t>
      </w:r>
      <w:r w:rsidR="00FF17D2">
        <w:fldChar w:fldCharType="begin"/>
      </w:r>
      <w:r w:rsidR="006C5B2D">
        <w:instrText xml:space="preserve"> ADDIN REFMGR.CITE &lt;Refman&gt;&lt;Cite&gt;&lt;Author&gt;Vieux&lt;/Author&gt;&lt;Year&gt;2012&lt;/Year&gt;&lt;RecNum&gt;4266&lt;/RecNum&gt;&lt;IDText&gt;Greenhouse gas emissions of self-selected individual diets in France: Changing the diet structure or consuming less?&lt;/IDText&gt;&lt;MDL Ref_Type="Journal"&gt;&lt;Ref_Type&gt;Journal&lt;/Ref_Type&gt;&lt;Ref_ID&gt;4266&lt;/Ref_ID&gt;&lt;Title_Primary&gt;&lt;f name="AdvTT5235d5a9"&gt;Greenhouse gas emissions of self-selected individual diets in France: Changing the diet structure or consuming less?&lt;/f&gt;&lt;/Title_Primary&gt;&lt;Authors_Primary&gt;Vieux,F.&lt;/Authors_Primary&gt;&lt;Authors_Primary&gt;Darmon,N.&lt;/Authors_Primary&gt;&lt;Authors_Primary&gt;Touazi,D.&lt;/Authors_Primary&gt;&lt;Authors_Primary&gt;Soler,L.G.&lt;/Authors_Primary&gt;&lt;Date_Primary&gt;2012&lt;/Date_Primary&gt;&lt;Keywords&gt;Diet&lt;/Keywords&gt;&lt;Keywords&gt;France&lt;/Keywords&gt;&lt;Reprint&gt;Not in File&lt;/Reprint&gt;&lt;Start_Page&gt;91&lt;/Start_Page&gt;&lt;End_Page&gt;101&lt;/End_Page&gt;&lt;Periodical&gt;Ecol Econ&lt;/Periodical&gt;&lt;Volume&gt;75&lt;/Volume&gt;&lt;Web_URL_Link1&gt;&lt;u&gt;file://C:\Users\darmon\Documents\ARTICLES\PUBLIS\2012 Ecol Econ-D-11-00534R1.pdf&lt;/u&gt;&lt;/Web_URL_Link1&gt;&lt;ZZ_JournalFull&gt;&lt;f name="System"&gt;Ecol Econ&lt;/f&gt;&lt;/ZZ_JournalFull&gt;&lt;ZZ_WorkformID&gt;1&lt;/ZZ_WorkformID&gt;&lt;/MDL&gt;&lt;/Cite&gt;&lt;Cite&gt;&lt;Author&gt;Payne&lt;/Author&gt;&lt;Year&gt;2016&lt;/Year&gt;&lt;RecNum&gt;5012&lt;/RecNum&gt;&lt;IDText&gt;Do low-carbon-emission diets lead to higher nutritional quality and positive health outcomes? A systematic review of the literature&lt;/IDText&gt;&lt;MDL Ref_Type="Journal"&gt;&lt;Ref_Type&gt;Journal&lt;/Ref_Type&gt;&lt;Ref_ID&gt;5012&lt;/Ref_ID&gt;&lt;Title_Primary&gt;Do low-carbon-emission diets lead to higher nutritional quality and positive health outcomes? A systematic review of the literature&lt;/Title_Primary&gt;&lt;Authors_Primary&gt;Payne,C.L.&lt;/Authors_Primary&gt;&lt;Authors_Primary&gt;Scarborough,P.&lt;/Authors_Primary&gt;&lt;Authors_Primary&gt;Cobiac,L.&lt;/Authors_Primary&gt;&lt;Date_Primary&gt;2016/10&lt;/Date_Primary&gt;&lt;Keywords&gt;Animal&lt;/Keywords&gt;&lt;Keywords&gt;Cohort Studies&lt;/Keywords&gt;&lt;Keywords&gt;consumption&lt;/Keywords&gt;&lt;Keywords&gt;Diet&lt;/Keywords&gt;&lt;Keywords&gt;DIETARY&lt;/Keywords&gt;&lt;Keywords&gt;disease&lt;/Keywords&gt;&lt;Keywords&gt;Fat&lt;/Keywords&gt;&lt;Keywords&gt;health&lt;/Keywords&gt;&lt;Keywords&gt;Im&lt;/Keywords&gt;&lt;Keywords&gt;Indicators&lt;/Keywords&gt;&lt;Keywords&gt;Intake&lt;/Keywords&gt;&lt;Keywords&gt;Is&lt;/Keywords&gt;&lt;Keywords&gt;Micronutrients&lt;/Keywords&gt;&lt;Keywords&gt;Nutrient&lt;/Keywords&gt;&lt;Keywords&gt;nutrient intake&lt;/Keywords&gt;&lt;Keywords&gt;population&lt;/Keywords&gt;&lt;Keywords&gt;Reduction&lt;/Keywords&gt;&lt;Keywords&gt;To&lt;/Keywords&gt;&lt;Keywords&gt;trends&lt;/Keywords&gt;&lt;Reprint&gt;Not in File&lt;/Reprint&gt;&lt;Start_Page&gt;2654&lt;/Start_Page&gt;&lt;End_Page&gt;2661&lt;/End_Page&gt;&lt;Periodical&gt;Public Health Nutr&lt;/Periodical&gt;&lt;Volume&gt;19&lt;/Volume&gt;&lt;Issue&gt;14&lt;/Issue&gt;&lt;Address&gt;British Heart Foundation Centre on Population Approaches to Non-Communicable Disease Prevention,Nuffield Department of Population Health,University of Oxford,Old Road Campus,Headington,Oxford OX3 7LF,UK&amp;#xA;British Heart Foundation Centre on Population Approaches to Non-Communicable Disease Prevention,Nuffield Department of Population Health,University of Oxford,Old Road Campus,Headington,Oxford OX3 7LF,UK&amp;#xA;British Heart Foundation Centre on Population Approaches to Non-Communicable Disease Prevention,Nuffield Department of Population Health,University of Oxford,Old Road Campus,Headington,Oxford OX3 7LF,UK&lt;/Address&gt;&lt;Web_URL&gt;PM:26975578&lt;/Web_URL&gt;&lt;Web_URL_Link1&gt;&lt;u&gt;file://C:\Users\Darmon\Documents\Projets_ANR\OCAD\Biblio Environnement\Do low carbon diets lead to higher nutritional quality_PHN_2016.pdf&lt;/u&gt;&lt;/Web_URL_Link1&gt;&lt;ZZ_JournalStdAbbrev&gt;&lt;f name="System"&gt;Public Health Nutr&lt;/f&gt;&lt;/ZZ_JournalStdAbbrev&gt;&lt;ZZ_WorkformID&gt;1&lt;/ZZ_WorkformID&gt;&lt;/MDL&gt;&lt;/Cite&gt;&lt;Cite&gt;&lt;Author&gt;Wickramasinghe&lt;/Author&gt;&lt;Year&gt;2016&lt;/Year&gt;&lt;RecNum&gt;5030&lt;/RecNum&gt;&lt;IDText&gt;Contribution of healthy and unhealthy primary school meals to greenhouse gas emissions in England: linking nutritional data and greenhouse gas emission data of diets&lt;/IDText&gt;&lt;MDL Ref_Type="Journal"&gt;&lt;Ref_Type&gt;Journal&lt;/Ref_Type&gt;&lt;Ref_ID&gt;5030&lt;/Ref_ID&gt;&lt;Title_Primary&gt;Contribution of healthy and unhealthy primary school meals to greenhouse gas emissions in England: linking nutritional data and greenhouse gas emission data of diets&lt;/Title_Primary&gt;&lt;Authors_Primary&gt;Wickramasinghe,K.K.&lt;/Authors_Primary&gt;&lt;Authors_Primary&gt;Rayner,M.&lt;/Authors_Primary&gt;&lt;Authors_Primary&gt;Goldacre,M.&lt;/Authors_Primary&gt;&lt;Authors_Primary&gt;Townsend,N.&lt;/Authors_Primary&gt;&lt;Authors_Primary&gt;Scarborough,P.&lt;/Authors_Primary&gt;&lt;Date_Primary&gt;2016/10&lt;/Date_Primary&gt;&lt;Keywords&gt;An&lt;/Keywords&gt;&lt;Keywords&gt;children&lt;/Keywords&gt;&lt;Keywords&gt;Diet&lt;/Keywords&gt;&lt;Keywords&gt;disease&lt;/Keywords&gt;&lt;Keywords&gt;England&lt;/Keywords&gt;&lt;Keywords&gt;epidemiology&lt;/Keywords&gt;&lt;Keywords&gt;Fat&lt;/Keywords&gt;&lt;Keywords&gt;Food&lt;/Keywords&gt;&lt;Keywords&gt;health&lt;/Keywords&gt;&lt;Keywords&gt;Is&lt;/Keywords&gt;&lt;Keywords&gt;level&lt;/Keywords&gt;&lt;Keywords&gt;Lunch&lt;/Keywords&gt;&lt;Keywords&gt;Meals&lt;/Keywords&gt;&lt;Keywords&gt;Meat&lt;/Keywords&gt;&lt;Keywords&gt;population&lt;/Keywords&gt;&lt;Keywords&gt;sample&lt;/Keywords&gt;&lt;Keywords&gt;Schools&lt;/Keywords&gt;&lt;Keywords&gt;Students&lt;/Keywords&gt;&lt;Keywords&gt;To&lt;/Keywords&gt;&lt;Keywords&gt;Universities&lt;/Keywords&gt;&lt;Reprint&gt;Not in File&lt;/Reprint&gt;&lt;Start_Page&gt;1162&lt;/Start_Page&gt;&lt;End_Page&gt;1167&lt;/End_Page&gt;&lt;Periodical&gt;Eur.J Clin.Nutr&lt;/Periodical&gt;&lt;Volume&gt;70&lt;/Volume&gt;&lt;Issue&gt;10&lt;/Issue&gt;&lt;Address&gt;British Heart Foundation Centre on Population Approaches for Non-Communicable Disease Prevention, Nuffield Department of Population Health, University of Oxford, Oxford, UK&amp;#xA;British Heart Foundation Centre on Population Approaches for Non-Communicable Disease Prevention, Nuffield Department of Population Health, University of Oxford, Oxford, UK&amp;#xA;Unit of Health Care Epidemiology, Nuffield Department of Population Health, University of Oxford, Oxford, UK&amp;#xA;British Heart Foundation Centre on Population Approaches for Non-Communicable Disease Prevention, Nuffield Department of Population Health, University of Oxford, Oxford, UK&amp;#xA;British Heart Foundation Centre on Population Approaches for Non-Communicable Disease Prevention, Nuffield Department of Population Health, University of Oxford, Oxford, UK&lt;/Address&gt;&lt;Web_URL&gt;PM:27329613&lt;/Web_URL&gt;&lt;Web_URL_Link1&gt;&lt;u&gt;file://C:\Users\Darmon\Documents\Projets_ANR\OCAD\Biblio Environnement\GHGE School meals Rayner 2016.pdf&lt;/u&gt;&lt;/Web_URL_Link1&gt;&lt;ZZ_JournalStdAbbrev&gt;&lt;f name="System"&gt;Eur.J Clin.Nutr&lt;/f&gt;&lt;/ZZ_JournalStdAbbrev&gt;&lt;ZZ_WorkformID&gt;1&lt;/ZZ_WorkformID&gt;&lt;/MDL&gt;&lt;/Cite&gt;&lt;/Refman&gt;</w:instrText>
      </w:r>
      <w:r w:rsidR="00FF17D2">
        <w:fldChar w:fldCharType="separate"/>
      </w:r>
      <w:r w:rsidR="006C5B2D">
        <w:t>[36,41,42]</w:t>
      </w:r>
      <w:r w:rsidR="00FF17D2">
        <w:fldChar w:fldCharType="end"/>
      </w:r>
      <w:r w:rsidR="00D43FA0" w:rsidRPr="00D836A2">
        <w:t xml:space="preserve">. </w:t>
      </w:r>
      <w:r w:rsidR="006629FA">
        <w:t xml:space="preserve">In </w:t>
      </w:r>
      <w:r w:rsidR="00D43FA0" w:rsidRPr="00D836A2">
        <w:t>a recent study</w:t>
      </w:r>
      <w:r w:rsidR="006629FA">
        <w:t>,</w:t>
      </w:r>
      <w:r w:rsidR="00D43FA0" w:rsidRPr="00D836A2">
        <w:t xml:space="preserve"> total replacement of animal products with products of plant origin </w:t>
      </w:r>
      <w:r w:rsidR="006629FA">
        <w:t>improved some</w:t>
      </w:r>
      <w:r w:rsidR="00D43FA0" w:rsidRPr="00D836A2">
        <w:t xml:space="preserve"> nutritional aspects (less sodium and SFAs</w:t>
      </w:r>
      <w:r w:rsidR="00BC7950">
        <w:t>,</w:t>
      </w:r>
      <w:r w:rsidR="00D43FA0" w:rsidRPr="00D836A2">
        <w:t xml:space="preserve"> and more fiber) but </w:t>
      </w:r>
      <w:r w:rsidR="006629FA">
        <w:t xml:space="preserve">decreased the content and/or the </w:t>
      </w:r>
      <w:r w:rsidR="003632CF">
        <w:t xml:space="preserve">bioavailability </w:t>
      </w:r>
      <w:r w:rsidR="006629FA">
        <w:t>of</w:t>
      </w:r>
      <w:r w:rsidR="00D43FA0" w:rsidRPr="00D836A2">
        <w:t xml:space="preserve"> many essential nutrients (zinc, thiamine, vitamin A, vitamin B12, calcium and iron) </w:t>
      </w:r>
      <w:r w:rsidR="00FF17D2">
        <w:fldChar w:fldCharType="begin"/>
      </w:r>
      <w:r w:rsidR="006C5B2D">
        <w:instrText xml:space="preserve"> ADDIN REFMGR.CITE &lt;Refman&gt;&lt;Cite&gt;&lt;Author&gt;Seves&lt;/Author&gt;&lt;Year&gt;2017&lt;/Year&gt;&lt;RecNum&gt;5108&lt;/RecNum&gt;&lt;IDText&gt;Are more environmentally sustainable diets with less meat and dairy nutritionally adequate?&lt;/IDText&gt;&lt;MDL Ref_Type="Journal"&gt;&lt;Ref_Type&gt;Journal&lt;/Ref_Type&gt;&lt;Ref_ID&gt;5108&lt;/Ref_ID&gt;&lt;Title_Primary&gt;Are more environmentally sustainable diets with less meat and dairy nutritionally adequate?&lt;/Title_Primary&gt;&lt;Authors_Primary&gt;Seves,S.M.&lt;/Authors_Primary&gt;&lt;Authors_Primary&gt;Verkaik-Kloosterman,J.&lt;/Authors_Primary&gt;&lt;Authors_Primary&gt;Biesbroek,S.&lt;/Authors_Primary&gt;&lt;Authors_Primary&gt;Temme,E.H.&lt;/Authors_Primary&gt;&lt;Date_Primary&gt;2017/5/23&lt;/Date_Primary&gt;&lt;Keywords&gt;Adult&lt;/Keywords&gt;&lt;Keywords&gt;Aged&lt;/Keywords&gt;&lt;Keywords&gt;consumption&lt;/Keywords&gt;&lt;Keywords&gt;Diet&lt;/Keywords&gt;&lt;Keywords&gt;DIETARY&lt;/Keywords&gt;&lt;Keywords&gt;Environment&lt;/Keywords&gt;&lt;Keywords&gt;Food&lt;/Keywords&gt;&lt;Keywords&gt;health&lt;/Keywords&gt;&lt;Keywords&gt;Intake&lt;/Keywords&gt;&lt;Keywords&gt;Is&lt;/Keywords&gt;&lt;Keywords&gt;Meat&lt;/Keywords&gt;&lt;Keywords&gt;Netherlands&lt;/Keywords&gt;&lt;Keywords&gt;Nutrient&lt;/Keywords&gt;&lt;Keywords&gt;nutrient intake&lt;/Keywords&gt;&lt;Keywords&gt;Public Health&lt;/Keywords&gt;&lt;Keywords&gt;vitamin&lt;/Keywords&gt;&lt;Keywords&gt;Vitamin A&lt;/Keywords&gt;&lt;Keywords&gt;Vitamin D&lt;/Keywords&gt;&lt;Keywords&gt;Vitamins&lt;/Keywords&gt;&lt;Reprint&gt;Not in File&lt;/Reprint&gt;&lt;Start_Page&gt;2050&lt;/Start_Page&gt;&lt;End_Page&gt;2062&lt;/End_Page&gt;&lt;Periodical&gt;Public Health Nutr&lt;/Periodical&gt;&lt;Volume&gt;20&lt;/Volume&gt;&lt;Issue&gt;11&lt;/Issue&gt;&lt;Address&gt;National Institute for Public Health and the Environment (RIVM),Postbus 1,3720 BA Bilthoven,The Netherlands&amp;#xA;National Institute for Public Health and the Environment (RIVM),Postbus 1,3720 BA Bilthoven,The Netherlands&amp;#xA;National Institute for Public Health and the Environment (RIVM),Postbus 1,3720 BA Bilthoven,The Netherlands&amp;#xA;National Institute for Public Health and the Environment (RIVM),Postbus 1,3720 BA Bilthoven,The Netherlands&lt;/Address&gt;&lt;Web_URL&gt;PM:28532520&lt;/Web_URL&gt;&lt;Web_URL_Link1&gt;&lt;u&gt;file://C:\Users\Darmon\Documents\Projets_ANR\OCAD\Biblio Environnement\Temme_are_more_environmentally_sustainable_diets_with_less_meat_and_dairy_nutritionally_adequate_PHN_2017.pdf&lt;/u&gt;&lt;/Web_URL_Link1&gt;&lt;ZZ_JournalStdAbbrev&gt;&lt;f name="System"&gt;Public Health Nutr&lt;/f&gt;&lt;/ZZ_JournalStdAbbrev&gt;&lt;ZZ_WorkformID&gt;1&lt;/ZZ_WorkformID&gt;&lt;/MDL&gt;&lt;/Cite&gt;&lt;/Refman&gt;</w:instrText>
      </w:r>
      <w:r w:rsidR="00FF17D2">
        <w:fldChar w:fldCharType="separate"/>
      </w:r>
      <w:r w:rsidR="006C5B2D">
        <w:t>[43]</w:t>
      </w:r>
      <w:r w:rsidR="00FF17D2">
        <w:fldChar w:fldCharType="end"/>
      </w:r>
      <w:r w:rsidR="00D43FA0" w:rsidRPr="00D836A2">
        <w:t xml:space="preserve">. </w:t>
      </w:r>
    </w:p>
    <w:p w:rsidR="005B6231" w:rsidRPr="00D836A2" w:rsidRDefault="00D43FA0" w:rsidP="005D10D8">
      <w:pPr>
        <w:pStyle w:val="MDPI31text"/>
      </w:pPr>
      <w:r w:rsidRPr="00D836A2">
        <w:t>The present study has its limit</w:t>
      </w:r>
      <w:r w:rsidR="003E52C8" w:rsidRPr="00D836A2">
        <w:t>ations</w:t>
      </w:r>
      <w:r w:rsidRPr="00D836A2">
        <w:t>. First, the data used in the descriptive portion were collected voluntarily and are therefore not representative of school food</w:t>
      </w:r>
      <w:r w:rsidR="003E52C8" w:rsidRPr="00D836A2">
        <w:t xml:space="preserve"> service</w:t>
      </w:r>
      <w:r w:rsidRPr="00D836A2">
        <w:t xml:space="preserve"> in France. However, non-representativeness is not a major limitation because </w:t>
      </w:r>
      <w:r w:rsidR="003E52C8" w:rsidRPr="00D836A2">
        <w:t xml:space="preserve">our </w:t>
      </w:r>
      <w:r w:rsidRPr="00D836A2">
        <w:t xml:space="preserve">goal was not to evaluate the nutritional quality of school </w:t>
      </w:r>
      <w:r w:rsidR="003E52C8" w:rsidRPr="00D836A2">
        <w:t xml:space="preserve">meals </w:t>
      </w:r>
      <w:r w:rsidRPr="00D836A2">
        <w:t>in France but</w:t>
      </w:r>
      <w:r w:rsidR="00067E85">
        <w:t xml:space="preserve"> rather</w:t>
      </w:r>
      <w:r w:rsidRPr="00D836A2">
        <w:t xml:space="preserve"> </w:t>
      </w:r>
      <w:r w:rsidR="003E52C8" w:rsidRPr="00D836A2">
        <w:t xml:space="preserve">to </w:t>
      </w:r>
      <w:r w:rsidR="003E52C8" w:rsidRPr="00D836A2">
        <w:rPr>
          <w:lang w:eastAsia="fr-FR"/>
        </w:rPr>
        <w:t xml:space="preserve">assess </w:t>
      </w:r>
      <w:r w:rsidR="003E52C8" w:rsidRPr="00D836A2">
        <w:t xml:space="preserve">the nutritional impact of complying with </w:t>
      </w:r>
      <w:r w:rsidR="003E52C8" w:rsidRPr="00D836A2">
        <w:rPr>
          <w:lang w:eastAsia="fr-FR"/>
        </w:rPr>
        <w:t xml:space="preserve">French school </w:t>
      </w:r>
      <w:r w:rsidR="002731B9">
        <w:rPr>
          <w:lang w:eastAsia="fr-FR"/>
        </w:rPr>
        <w:t>food</w:t>
      </w:r>
      <w:r w:rsidR="002731B9" w:rsidRPr="00D836A2">
        <w:rPr>
          <w:lang w:eastAsia="fr-FR"/>
        </w:rPr>
        <w:t xml:space="preserve"> </w:t>
      </w:r>
      <w:r w:rsidR="003E52C8" w:rsidRPr="00D836A2">
        <w:rPr>
          <w:lang w:eastAsia="fr-FR"/>
        </w:rPr>
        <w:t>guidelines</w:t>
      </w:r>
      <w:r w:rsidRPr="00D836A2">
        <w:t xml:space="preserve"> and </w:t>
      </w:r>
      <w:r w:rsidR="003E52C8" w:rsidRPr="00D836A2">
        <w:t>test some</w:t>
      </w:r>
      <w:r w:rsidRPr="00D836A2">
        <w:t xml:space="preserve"> modifications in practices. Another limit</w:t>
      </w:r>
      <w:r w:rsidR="00102CBF">
        <w:t>ation</w:t>
      </w:r>
      <w:r w:rsidRPr="00D836A2">
        <w:t xml:space="preserve"> lies in the fact that the nutritional analysis was done on dishes as prepared in kitchens and served to children but not the portions actually eaten by children. We know, however, that offering healthier food at school encourages healthy eating among children </w:t>
      </w:r>
      <w:r w:rsidR="00FF17D2">
        <w:fldChar w:fldCharType="begin"/>
      </w:r>
      <w:r w:rsidR="006C5B2D">
        <w:instrText xml:space="preserve"> ADDIN REFMGR.CITE &lt;Refman&gt;&lt;Cite&gt;&lt;Author&gt;Niebylski&lt;/Author&gt;&lt;Year&gt;2014&lt;/Year&gt;&lt;RecNum&gt;5102&lt;/RecNum&gt;&lt;IDText&gt;Healthy food procurement policies and their impact&lt;/IDText&gt;&lt;MDL Ref_Type="Journal"&gt;&lt;Ref_Type&gt;Journal&lt;/Ref_Type&gt;&lt;Ref_ID&gt;5102&lt;/Ref_ID&gt;&lt;Title_Primary&gt;Healthy food procurement policies and their impact&lt;/Title_Primary&gt;&lt;Authors_Primary&gt;Niebylski,M.L.&lt;/Authors_Primary&gt;&lt;Authors_Primary&gt;Lu,T.&lt;/Authors_Primary&gt;&lt;Authors_Primary&gt;Campbell,N.R.&lt;/Authors_Primary&gt;&lt;Authors_Primary&gt;Arcand,J.&lt;/Authors_Primary&gt;&lt;Authors_Primary&gt;Schermel,A.&lt;/Authors_Primary&gt;&lt;Authors_Primary&gt;Hua,D.&lt;/Authors_Primary&gt;&lt;Authors_Primary&gt;Yeates,K.E.&lt;/Authors_Primary&gt;&lt;Authors_Primary&gt;Tobe,S.W.&lt;/Authors_Primary&gt;&lt;Authors_Primary&gt;Twohig,P.A.&lt;/Authors_Primary&gt;&lt;Authors_Primary&gt;L&amp;apos;Abbe,M.R.&lt;/Authors_Primary&gt;&lt;Authors_Primary&gt;Liu,P.P.&lt;/Authors_Primary&gt;&lt;Date_Primary&gt;2014/3/3&lt;/Date_Primary&gt;&lt;Keywords&gt;availability&lt;/Keywords&gt;&lt;Keywords&gt;Behavior&lt;/Keywords&gt;&lt;Keywords&gt;Canada&lt;/Keywords&gt;&lt;Keywords&gt;Component&lt;/Keywords&gt;&lt;Keywords&gt;consumption&lt;/Keywords&gt;&lt;Keywords&gt;death&lt;/Keywords&gt;&lt;Keywords&gt;Eating&lt;/Keywords&gt;&lt;Keywords&gt;Education&lt;/Keywords&gt;&lt;Keywords&gt;Faculty&lt;/Keywords&gt;&lt;Keywords&gt;Food&lt;/Keywords&gt;&lt;Keywords&gt;Food Supply&lt;/Keywords&gt;&lt;Keywords&gt;health&lt;/Keywords&gt;&lt;Keywords&gt;Hospitals&lt;/Keywords&gt;&lt;Keywords&gt;Im&lt;/Keywords&gt;&lt;Keywords&gt;Intervention&lt;/Keywords&gt;&lt;Keywords&gt;Interventions&lt;/Keywords&gt;&lt;Keywords&gt;Is&lt;/Keywords&gt;&lt;Keywords&gt;Medline&lt;/Keywords&gt;&lt;Keywords&gt;Nutrition Policy&lt;/Keywords&gt;&lt;Keywords&gt;Nutritional Sciences&lt;/Keywords&gt;&lt;Keywords&gt;Policy&lt;/Keywords&gt;&lt;Keywords&gt;population&lt;/Keywords&gt;&lt;Keywords&gt;Program&lt;/Keywords&gt;&lt;Keywords&gt;Reduction&lt;/Keywords&gt;&lt;Keywords&gt;Research&lt;/Keywords&gt;&lt;Keywords&gt;Risk&lt;/Keywords&gt;&lt;Keywords&gt;Schools&lt;/Keywords&gt;&lt;Keywords&gt;Science&lt;/Keywords&gt;&lt;Keywords&gt;St&lt;/Keywords&gt;&lt;Keywords&gt;To&lt;/Keywords&gt;&lt;Keywords&gt;Universities&lt;/Keywords&gt;&lt;Keywords&gt;World Health&lt;/Keywords&gt;&lt;Keywords&gt;World Health Organization&lt;/Keywords&gt;&lt;Reprint&gt;Not in File&lt;/Reprint&gt;&lt;Start_Page&gt;2608&lt;/Start_Page&gt;&lt;End_Page&gt;2627&lt;/End_Page&gt;&lt;Periodical&gt;Int.J Environ.Res.Public Health&lt;/Periodical&gt;&lt;Volume&gt;11&lt;/Volume&gt;&lt;Issue&gt;3&lt;/Issue&gt;&lt;Address&gt;Libin Cardiovascular Institute of Alberta, University of Calgary, 3280 Hospital Drive NW, Calgary, AB T2N 4Z6, Canada. mniebylski@yahoo.com&amp;#xA;Libin Cardiovascular Institute of Alberta, University of Calgary, 3280 Hospital Drive NW, Calgary, AB T2N 4Z6, Canada. tamlu@ucalgary.ca&amp;#xA;Libin Cardiovascular Institute of Alberta, University of Calgary, 3280 Hospital Drive NW, Calgary, AB T2N 4Z6, Canada. ncampbel@ucalgary.ca&amp;#xA;Department of Nutritional Sciences, Faculty of Medicine, University of Toronto, 150 College St., Toronto, ON M5S3E2, Canada. joanne.arcand@utoronto.ca&amp;#xA;Department of Nutritional Sciences, Faculty of Medicine, University of Toronto, 150 College St., Toronto, ON M5S3E2, Canada. a.schermel@gmail.com&amp;#xA;Sunnybrook Health Sciences Centre, Sunnybrook Research Institute, University of Toronto Bayview Ave. E239, Toronto, ON M4N 3M5, Canada. Diane.Hua@sunnybrook.ca&amp;#xA;Department of Medicine, Queen&amp;apos;s University, 2059 Etherington Hall, Kingston, ON K7L 3N6, Canada. yeatesk@queensu.ca&amp;#xA;Sunnybrook Health Sciences Centre, Sunnybrook Research Institute, University of Toronto Bayview Ave. E239, Toronto, ON M4N 3M5, Canada. sheldon.tobe@sunnybrook.ca&amp;#xA;Toronto General Hospital, University of Toronto, 200 Elizabeth St., Toronto, ON M5G 2C4, Canada. ptwohig@uhnresearch.ca&amp;#xA;Department of Nutritional Sciences, Faculty of Medicine, University of Toronto, 150 College St., Toronto, ON M5S3E2, Canada. mary.labbe@utoronto.ca&amp;#xA;Toronto General Hospital, University of Toronto, 200 Elizabeth St., Toronto, ON M5G 2C4, Canada. peter.liu@utoronto.ca&lt;/Address&gt;&lt;Web_URL&gt;PM:24595213&lt;/Web_URL&gt;&lt;ZZ_JournalStdAbbrev&gt;&lt;f name="System"&gt;Int.J Environ.Res.Public Health&lt;/f&gt;&lt;/ZZ_JournalStdAbbrev&gt;&lt;ZZ_WorkformID&gt;1&lt;/ZZ_WorkformID&gt;&lt;/MDL&gt;&lt;/Cite&gt;&lt;Cite&gt;&lt;Author&gt;Wang&lt;/Author&gt;&lt;Year&gt;2013&lt;/Year&gt;&lt;RecNum&gt;5073&lt;/RecNum&gt;&lt;IDText&gt;The implementation and effectiveness of school-based nutrition promotion programmes using a health-promoting schools approach: a systematic review&lt;/IDText&gt;&lt;MDL Ref_Type="Journal"&gt;&lt;Ref_Type&gt;Journal&lt;/Ref_Type&gt;&lt;Ref_ID&gt;5073&lt;/Ref_ID&gt;&lt;Title_Primary&gt;The implementation and effectiveness of school-based nutrition promotion programmes using a health-promoting schools approach: a systematic review&lt;/Title_Primary&gt;&lt;Authors_Primary&gt;Wang,D.&lt;/Authors_Primary&gt;&lt;Authors_Primary&gt;Stewart,D.&lt;/Authors_Primary&gt;&lt;Date_Primary&gt;2013/6&lt;/Date_Primary&gt;&lt;Keywords&gt;Australia&lt;/Keywords&gt;&lt;Keywords&gt;Breakfast&lt;/Keywords&gt;&lt;Keywords&gt;Component&lt;/Keywords&gt;&lt;Keywords&gt;Consumer Behavior&lt;/Keywords&gt;&lt;Keywords&gt;consumption&lt;/Keywords&gt;&lt;Keywords&gt;Curriculum&lt;/Keywords&gt;&lt;Keywords&gt;Diet&lt;/Keywords&gt;&lt;Keywords&gt;disorders&lt;/Keywords&gt;&lt;Keywords&gt;Eating&lt;/Keywords&gt;&lt;Keywords&gt;Eating Disorders&lt;/Keywords&gt;&lt;Keywords&gt;Environment&lt;/Keywords&gt;&lt;Keywords&gt;Evaluation Studies&lt;/Keywords&gt;&lt;Keywords&gt;Feeding Behavior&lt;/Keywords&gt;&lt;Keywords&gt;Food&lt;/Keywords&gt;&lt;Keywords&gt;Food Preferences&lt;/Keywords&gt;&lt;Keywords&gt;Fruit&lt;/Keywords&gt;&lt;Keywords&gt;Habits&lt;/Keywords&gt;&lt;Keywords&gt;health&lt;/Keywords&gt;&lt;Keywords&gt;Health Behavior&lt;/Keywords&gt;&lt;Keywords&gt;Health Promotion&lt;/Keywords&gt;&lt;Keywords&gt;Humans&lt;/Keywords&gt;&lt;Keywords&gt;Im&lt;/Keywords&gt;&lt;Keywords&gt;Intake&lt;/Keywords&gt;&lt;Keywords&gt;Intervention&lt;/Keywords&gt;&lt;Keywords&gt;Interventions&lt;/Keywords&gt;&lt;Keywords&gt;Is&lt;/Keywords&gt;&lt;Keywords&gt;level&lt;/Keywords&gt;&lt;Keywords&gt;Medline&lt;/Keywords&gt;&lt;Keywords&gt;Milk&lt;/Keywords&gt;&lt;Keywords&gt;Nutrition&lt;/Keywords&gt;&lt;Keywords&gt;Parents&lt;/Keywords&gt;&lt;Keywords&gt;Program Evaluation&lt;/Keywords&gt;&lt;Keywords&gt;Public Health&lt;/Keywords&gt;&lt;Keywords&gt;Research&lt;/Keywords&gt;&lt;Keywords&gt;Safety&lt;/Keywords&gt;&lt;Keywords&gt;School Health Services&lt;/Keywords&gt;&lt;Keywords&gt;Schools&lt;/Keywords&gt;&lt;Keywords&gt;Science&lt;/Keywords&gt;&lt;Keywords&gt;Social Support&lt;/Keywords&gt;&lt;Keywords&gt;standards&lt;/Keywords&gt;&lt;Keywords&gt;Students&lt;/Keywords&gt;&lt;Keywords&gt;To&lt;/Keywords&gt;&lt;Keywords&gt;Universities&lt;/Keywords&gt;&lt;Keywords&gt;Vegetables&lt;/Keywords&gt;&lt;Keywords&gt;Water&lt;/Keywords&gt;&lt;Reprint&gt;Not in File&lt;/Reprint&gt;&lt;Start_Page&gt;1082&lt;/Start_Page&gt;&lt;End_Page&gt;1100&lt;/End_Page&gt;&lt;Periodical&gt;Public Health Nutr&lt;/Periodical&gt;&lt;Volume&gt;16&lt;/Volume&gt;&lt;Issue&gt;6&lt;/Issue&gt;&lt;Address&gt;School of Public Health, Griffith Graduate Centre, South Bank Campus, Griffith University, PO Box 3370, 226 Grey Street, South Bank, South Brisbane, QLD 4101, Australia. dongxu.wang2@griffithuni.edu.au&lt;/Address&gt;&lt;Web_URL&gt;PM:22850118&lt;/Web_URL&gt;&lt;Web_URL_Link1&gt;&lt;u&gt;file://C:\Users\Darmon\Documents\MS nutrition\C I V cantines\biblio resto collective\Review school based nutrition programmes wangPHN2012.pdf&lt;/u&gt;&lt;/Web_URL_Link1&gt;&lt;ZZ_JournalStdAbbrev&gt;&lt;f name="System"&gt;Public Health Nutr&lt;/f&gt;&lt;/ZZ_JournalStdAbbrev&gt;&lt;ZZ_WorkformID&gt;1&lt;/ZZ_WorkformID&gt;&lt;/MDL&gt;&lt;/Cite&gt;&lt;/Refman&gt;</w:instrText>
      </w:r>
      <w:r w:rsidR="00FF17D2">
        <w:fldChar w:fldCharType="separate"/>
      </w:r>
      <w:r w:rsidR="006C5B2D">
        <w:t>[44,45]</w:t>
      </w:r>
      <w:r w:rsidR="00FF17D2">
        <w:fldChar w:fldCharType="end"/>
      </w:r>
      <w:r w:rsidRPr="00D836A2">
        <w:t xml:space="preserve">. For some dishes, the estimated nutrient content may have been inaccurate. Thus, for dishes with sauce, the quantity of sauce taken into account in the analysis was higher than the amount actually served to children because a non-negligible amount of the sauce remains in the serving dish. A final limit is that, in the scenarios of elimination of the protein dish or replacement of meat or fish dishes, it would be interesting to consider the bioavailability of nutrients </w:t>
      </w:r>
      <w:r w:rsidR="00067E85">
        <w:t>when</w:t>
      </w:r>
      <w:r w:rsidR="00067E85" w:rsidRPr="00D836A2">
        <w:t xml:space="preserve"> </w:t>
      </w:r>
      <w:r w:rsidRPr="00D836A2">
        <w:t xml:space="preserve">estimating the nutritional quality of the series. This consideration would likely have confirmed or </w:t>
      </w:r>
      <w:r w:rsidR="00102CBF">
        <w:t xml:space="preserve">even </w:t>
      </w:r>
      <w:r w:rsidRPr="00D836A2">
        <w:t xml:space="preserve">strengthened </w:t>
      </w:r>
      <w:r w:rsidR="00067E85">
        <w:t>the</w:t>
      </w:r>
      <w:r w:rsidR="00067E85" w:rsidRPr="00D836A2">
        <w:t xml:space="preserve"> </w:t>
      </w:r>
      <w:r w:rsidRPr="00D836A2">
        <w:t xml:space="preserve">observation of </w:t>
      </w:r>
      <w:r w:rsidR="00067E85">
        <w:t xml:space="preserve">a </w:t>
      </w:r>
      <w:r w:rsidRPr="00D836A2">
        <w:t xml:space="preserve">nutritional worsening of the series in these scenarios because many key nutrients, such as iron, zinc and vitamin A, have greater bioavailability when they are of animal origin </w:t>
      </w:r>
      <w:r w:rsidR="00067E85">
        <w:t>rather than</w:t>
      </w:r>
      <w:r w:rsidRPr="00D836A2">
        <w:t xml:space="preserve"> plant origin </w:t>
      </w:r>
      <w:r w:rsidR="00FF17D2">
        <w:fldChar w:fldCharType="begin"/>
      </w:r>
      <w:r w:rsidR="006C5B2D">
        <w:instrText xml:space="preserve"> ADDIN REFMGR.CITE &lt;Refman&gt;&lt;Cite&gt;&lt;Author&gt;Gibson&lt;/Author&gt;&lt;Year&gt;2007&lt;/Year&gt;&lt;RecNum&gt;5133&lt;/RecNum&gt;&lt;IDText&gt;The role of diet- and host-related factors in nutrient bioavailability and thus in nutrient-based dietary requirement estimates&lt;/IDText&gt;&lt;MDL Ref_Type="Journal"&gt;&lt;Ref_Type&gt;Journal&lt;/Ref_Type&gt;&lt;Ref_ID&gt;5133&lt;/Ref_ID&gt;&lt;Title_Primary&gt;The role of diet- and host-related factors in nutrient bioavailability and thus in nutrient-based dietary requirement estimates&lt;/Title_Primary&gt;&lt;Authors_Primary&gt;Gibson,R.S.&lt;/Authors_Primary&gt;&lt;Date_Primary&gt;2007/3&lt;/Date_Primary&gt;&lt;Keywords&gt;administration &amp;amp; dosage&lt;/Keywords&gt;&lt;Keywords&gt;age&lt;/Keywords&gt;&lt;Keywords&gt;Age Factors&lt;/Keywords&gt;&lt;Keywords&gt;Algorithms&lt;/Keywords&gt;&lt;Keywords&gt;Biological Availability&lt;/Keywords&gt;&lt;Keywords&gt;calcium&lt;/Keywords&gt;&lt;Keywords&gt;Carotenoids&lt;/Keywords&gt;&lt;Keywords&gt;Component&lt;/Keywords&gt;&lt;Keywords&gt;countries&lt;/Keywords&gt;&lt;Keywords&gt;Diet&lt;/Keywords&gt;&lt;Keywords&gt;DIETARY&lt;/Keywords&gt;&lt;Keywords&gt;disease&lt;/Keywords&gt;&lt;Keywords&gt;Food&lt;/Keywords&gt;&lt;Keywords&gt;Food Handling&lt;/Keywords&gt;&lt;Keywords&gt;Health Status&lt;/Keywords&gt;&lt;Keywords&gt;Human&lt;/Keywords&gt;&lt;Keywords&gt;Humans&lt;/Keywords&gt;&lt;Keywords&gt;Im&lt;/Keywords&gt;&lt;Keywords&gt;Intestinal Absorption&lt;/Keywords&gt;&lt;Keywords&gt;Intestinal Mucosa&lt;/Keywords&gt;&lt;Keywords&gt;Iron&lt;/Keywords&gt;&lt;Keywords&gt;Is&lt;/Keywords&gt;&lt;Keywords&gt;Magnesium&lt;/Keywords&gt;&lt;Keywords&gt;methods&lt;/Keywords&gt;&lt;Keywords&gt;Micronutrients&lt;/Keywords&gt;&lt;Keywords&gt;New Zealand&lt;/Keywords&gt;&lt;Keywords&gt;Nutrient&lt;/Keywords&gt;&lt;Keywords&gt;Nutrition&lt;/Keywords&gt;&lt;Keywords&gt;Nutritional Physiological Phenomena&lt;/Keywords&gt;&lt;Keywords&gt;Nutritional Requirements&lt;/Keywords&gt;&lt;Keywords&gt;Nutritional Status&lt;/Keywords&gt;&lt;Keywords&gt;Nutritive Value&lt;/Keywords&gt;&lt;Keywords&gt;Permeability&lt;/Keywords&gt;&lt;Keywords&gt;pharmacokinetics&lt;/Keywords&gt;&lt;Keywords&gt;physiology&lt;/Keywords&gt;&lt;Keywords&gt;Pregnancy&lt;/Keywords&gt;&lt;Keywords&gt;protein&lt;/Keywords&gt;&lt;Keywords&gt;Reduction&lt;/Keywords&gt;&lt;Keywords&gt;Region&lt;/Keywords&gt;&lt;Keywords&gt;secretion&lt;/Keywords&gt;&lt;Keywords&gt;Sex Factors&lt;/Keywords&gt;&lt;Keywords&gt;standards&lt;/Keywords&gt;&lt;Keywords&gt;To&lt;/Keywords&gt;&lt;Keywords&gt;Universities&lt;/Keywords&gt;&lt;Keywords&gt;vitamin&lt;/Keywords&gt;&lt;Keywords&gt;Vitamin A&lt;/Keywords&gt;&lt;Keywords&gt;Zinc&lt;/Keywords&gt;&lt;Reprint&gt;Not in File&lt;/Reprint&gt;&lt;Start_Page&gt;S77&lt;/Start_Page&gt;&lt;End_Page&gt;100&lt;/End_Page&gt;&lt;Periodical&gt;Food Nutr Bull&lt;/Periodical&gt;&lt;Volume&gt;28&lt;/Volume&gt;&lt;Issue&gt;1 Suppl International&lt;/Issue&gt;&lt;Address&gt;Department of Human Nutrition, University of Otago, New Zealand. Rosalind.Gibson@stonebow.otago.ac.nz&lt;/Address&gt;&lt;Web_URL&gt;PM:17521121&lt;/Web_URL&gt;&lt;ZZ_JournalStdAbbrev&gt;&lt;f name="System"&gt;Food Nutr Bull&lt;/f&gt;&lt;/ZZ_JournalStdAbbrev&gt;&lt;ZZ_WorkformID&gt;1&lt;/ZZ_WorkformID&gt;&lt;/MDL&gt;&lt;/Cite&gt;&lt;Cite&gt;&lt;Author&gt;Millward&lt;/Author&gt;&lt;Year&gt;2010&lt;/Year&gt;&lt;RecNum&gt;3859&lt;/RecNum&gt;&lt;IDText&gt;Plenary Lecture 3: Food and the planet: nutritional dilemmas of greenhouse gas emission reductions through reduced intakes of meat and dairy foods&lt;/IDText&gt;&lt;MDL Ref_Type="Journal"&gt;&lt;Ref_Type&gt;Journal&lt;/Ref_Type&gt;&lt;Ref_ID&gt;3859&lt;/Ref_ID&gt;&lt;Title_Primary&gt;Plenary Lecture 3: Food and the planet: nutritional dilemmas of greenhouse gas emission reductions through reduced intakes of meat and dairy foods&lt;/Title_Primary&gt;&lt;Authors_Primary&gt;Millward,D.J.&lt;/Authors_Primary&gt;&lt;Authors_Primary&gt;Garnett,T.&lt;/Authors_Primary&gt;&lt;Date_Primary&gt;2010/2&lt;/Date_Primary&gt;&lt;Keywords&gt;An&lt;/Keywords&gt;&lt;Keywords&gt;Child&lt;/Keywords&gt;&lt;Keywords&gt;children&lt;/Keywords&gt;&lt;Keywords&gt;consumption&lt;/Keywords&gt;&lt;Keywords&gt;Dairy Products&lt;/Keywords&gt;&lt;Keywords&gt;DIETARY&lt;/Keywords&gt;&lt;Keywords&gt;Fat&lt;/Keywords&gt;&lt;Keywords&gt;Food&lt;/Keywords&gt;&lt;Keywords&gt;Growth&lt;/Keywords&gt;&lt;Keywords&gt;health&lt;/Keywords&gt;&lt;Keywords&gt;Im&lt;/Keywords&gt;&lt;Keywords&gt;Intake&lt;/Keywords&gt;&lt;Keywords&gt;Iodine&lt;/Keywords&gt;&lt;Keywords&gt;Is&lt;/Keywords&gt;&lt;Keywords&gt;Meat&lt;/Keywords&gt;&lt;Keywords&gt;Milk&lt;/Keywords&gt;&lt;Keywords&gt;Moderate&lt;/Keywords&gt;&lt;Keywords&gt;Morbidity&lt;/Keywords&gt;&lt;Keywords&gt;Mortality&lt;/Keywords&gt;&lt;Keywords&gt;Nutrient&lt;/Keywords&gt;&lt;Keywords&gt;Nutritional Sciences&lt;/Keywords&gt;&lt;Keywords&gt;Nutritional Status&lt;/Keywords&gt;&lt;Keywords&gt;nutritional-status&lt;/Keywords&gt;&lt;Keywords&gt;population&lt;/Keywords&gt;&lt;Keywords&gt;protein&lt;/Keywords&gt;&lt;Keywords&gt;Public Health&lt;/Keywords&gt;&lt;Keywords&gt;Reduction&lt;/Keywords&gt;&lt;Keywords&gt;Research&lt;/Keywords&gt;&lt;Keywords&gt;Riboflavin&lt;/Keywords&gt;&lt;Keywords&gt;Risk&lt;/Keywords&gt;&lt;Keywords&gt;To&lt;/Keywords&gt;&lt;Keywords&gt;Universities&lt;/Keywords&gt;&lt;Keywords&gt;vitamin&lt;/Keywords&gt;&lt;Keywords&gt;Women&lt;/Keywords&gt;&lt;Reprint&gt;Not in File&lt;/Reprint&gt;&lt;Start_Page&gt;103&lt;/Start_Page&gt;&lt;End_Page&gt;118&lt;/End_Page&gt;&lt;Periodical&gt;Proc.Nutr Soc.&lt;/Periodical&gt;&lt;Volume&gt;69&lt;/Volume&gt;&lt;Issue&gt;1&lt;/Issue&gt;&lt;Address&gt;Division of Nutritional Sciences, Faculty of Health and Medical Sciences, University of Surrey, Guildford GU2 7XH, UK. d.millward@surrey.ac.uk&lt;/Address&gt;&lt;Web_URL&gt;PM:20003639&lt;/Web_URL&gt;&lt;Web_URL_Link1&gt;&lt;u&gt;file://C:\Documents and Settings\Administrateur\Mes documents\Biblio_Doc\PDF et autres Doc\Meat Nutritional Dilemna Proc Nut Soc 2009.pdf&lt;/u&gt;&lt;/Web_URL_Link1&gt;&lt;ZZ_JournalStdAbbrev&gt;&lt;f name="System"&gt;Proc.Nutr Soc.&lt;/f&gt;&lt;/ZZ_JournalStdAbbrev&gt;&lt;ZZ_WorkformID&gt;1&lt;/ZZ_WorkformID&gt;&lt;/MDL&gt;&lt;/Cite&gt;&lt;/Refman&gt;</w:instrText>
      </w:r>
      <w:r w:rsidR="00FF17D2">
        <w:fldChar w:fldCharType="separate"/>
      </w:r>
      <w:r w:rsidR="006C5B2D">
        <w:t>[39,40]</w:t>
      </w:r>
      <w:r w:rsidR="00FF17D2">
        <w:fldChar w:fldCharType="end"/>
      </w:r>
      <w:r w:rsidRPr="00D836A2">
        <w:t xml:space="preserve">, even </w:t>
      </w:r>
      <w:r w:rsidRPr="00D836A2">
        <w:lastRenderedPageBreak/>
        <w:t>though satisfactory bioavailability may be achieved in diets containing moderate quantities of animal products</w:t>
      </w:r>
      <w:r w:rsidR="001D294C" w:rsidRPr="00D836A2">
        <w:t xml:space="preserve"> </w:t>
      </w:r>
      <w:r w:rsidR="00FF17D2">
        <w:fldChar w:fldCharType="begin"/>
      </w:r>
      <w:r w:rsidR="006C5B2D">
        <w:instrText xml:space="preserve"> ADDIN REFMGR.CITE &lt;Refman&gt;&lt;Cite&gt;&lt;Author&gt;Perignon&lt;/Author&gt;&lt;Year&gt;2018&lt;/Year&gt;&lt;RecNum&gt;5175&lt;/RecNum&gt;&lt;IDText&gt;The bioavailability of iron, zinc, protein and vitamin A is highly variable in French individual diets: Impact on nutrient inadequacy assessment and relation with the animal-to-plant ratio of diets&lt;/IDText&gt;&lt;MDL Ref_Type="Journal"&gt;&lt;Ref_Type&gt;Journal&lt;/Ref_Type&gt;&lt;Ref_ID&gt;5175&lt;/Ref_ID&gt;&lt;Title_Primary&gt;The bioavailability of iron, zinc, protein and vitamin A is highly variable in French individual diets: Impact on nutrient inadequacy assessment and relation with the animal-to-plant ratio of diets&lt;/Title_Primary&gt;&lt;Authors_Primary&gt;Perignon,M.&lt;/Authors_Primary&gt;&lt;Authors_Primary&gt;Barre,T.&lt;/Authors_Primary&gt;&lt;Authors_Primary&gt;Gazan,R.&lt;/Authors_Primary&gt;&lt;Authors_Primary&gt;Amiot,M.J.&lt;/Authors_Primary&gt;&lt;Authors_Primary&gt;Darmon,N.&lt;/Authors_Primary&gt;&lt;Date_Primary&gt;2018/1/1&lt;/Date_Primary&gt;&lt;Keywords&gt;Algorithms&lt;/Keywords&gt;&lt;Keywords&gt;Animals&lt;/Keywords&gt;&lt;Keywords&gt;Beta Carotene&lt;/Keywords&gt;&lt;Keywords&gt;Biological Availability&lt;/Keywords&gt;&lt;Keywords&gt;Diet&lt;/Keywords&gt;&lt;Keywords&gt;Food&lt;/Keywords&gt;&lt;Keywords&gt;France&lt;/Keywords&gt;&lt;Keywords&gt;Im&lt;/Keywords&gt;&lt;Keywords&gt;Intake&lt;/Keywords&gt;&lt;Keywords&gt;Iron&lt;/Keywords&gt;&lt;Keywords&gt;Is&lt;/Keywords&gt;&lt;Keywords&gt;Nutrient&lt;/Keywords&gt;&lt;Keywords&gt;nutrient intake&lt;/Keywords&gt;&lt;Keywords&gt;population&lt;/Keywords&gt;&lt;Keywords&gt;Prevalence&lt;/Keywords&gt;&lt;Keywords&gt;protein&lt;/Keywords&gt;&lt;Keywords&gt;To&lt;/Keywords&gt;&lt;Keywords&gt;vitamin&lt;/Keywords&gt;&lt;Keywords&gt;Vitamin A&lt;/Keywords&gt;&lt;Keywords&gt;Zinc&lt;/Keywords&gt;&lt;Reprint&gt;Not in File&lt;/Reprint&gt;&lt;Start_Page&gt;73&lt;/Start_Page&gt;&lt;End_Page&gt;81&lt;/End_Page&gt;&lt;Periodical&gt;Food Chem&lt;/Periodical&gt;&lt;Volume&gt;238&lt;/Volume&gt;&lt;Address&gt;Aix-Marseille Univ, INSERM, INRA, NORT, Marseille, France&amp;#xA;Aix-Marseille Univ, INSERM, INRA, NORT, Marseille, France&amp;#xA;Aix-Marseille Univ, INSERM, INRA, NORT, Marseille, France; MS-Nutrition, Marseille, France&amp;#xA;Aix-Marseille Univ, INSERM, INRA, NORT, Marseille, France; UMR MOISA, INRA 1110, 34060 Montpellier, France&amp;#xA;Aix-Marseille Univ, INSERM, INRA, NORT, Marseille, France; UMR MOISA, INRA 1110, 34060 Montpellier, France. Electronic address: nicole.darmon@inra.fr&lt;/Address&gt;&lt;Web_URL&gt;PM:28867104&lt;/Web_URL&gt;&lt;ZZ_JournalFull&gt;&lt;f name="System"&gt;Food Chem&lt;/f&gt;&lt;/ZZ_JournalFull&gt;&lt;ZZ_WorkformID&gt;1&lt;/ZZ_WorkformID&gt;&lt;/MDL&gt;&lt;/Cite&gt;&lt;/Refman&gt;</w:instrText>
      </w:r>
      <w:r w:rsidR="00FF17D2">
        <w:fldChar w:fldCharType="separate"/>
      </w:r>
      <w:r w:rsidR="006C5B2D">
        <w:t>[46]</w:t>
      </w:r>
      <w:r w:rsidR="00FF17D2">
        <w:fldChar w:fldCharType="end"/>
      </w:r>
      <w:r w:rsidRPr="00D836A2">
        <w:t xml:space="preserve">. </w:t>
      </w:r>
    </w:p>
    <w:p w:rsidR="005F36E7" w:rsidRPr="00D836A2" w:rsidRDefault="00937866" w:rsidP="0050751A">
      <w:pPr>
        <w:pStyle w:val="MDPI31text"/>
      </w:pPr>
      <w:r w:rsidRPr="00D836A2">
        <w:t xml:space="preserve">This study </w:t>
      </w:r>
      <w:r w:rsidR="00AA7401" w:rsidRPr="00D836A2">
        <w:t>also presents</w:t>
      </w:r>
      <w:r w:rsidRPr="00D836A2">
        <w:t xml:space="preserve"> strengths. </w:t>
      </w:r>
      <w:r w:rsidR="005F36E7" w:rsidRPr="00D836A2">
        <w:t xml:space="preserve">First, </w:t>
      </w:r>
      <w:r w:rsidR="00AE50E3" w:rsidRPr="00D836A2">
        <w:t>p</w:t>
      </w:r>
      <w:r w:rsidR="005F36E7" w:rsidRPr="00D836A2">
        <w:t>recise data on meals and dishes actually served in schools were specifically collected for this study</w:t>
      </w:r>
      <w:r w:rsidR="00AE50E3" w:rsidRPr="00D836A2">
        <w:t>, making the database unique and rare</w:t>
      </w:r>
      <w:r w:rsidR="005F36E7" w:rsidRPr="00D836A2">
        <w:t>. Indeed, it was produced based on real technical files and recipe cards</w:t>
      </w:r>
      <w:r w:rsidR="006C4776">
        <w:t>—</w:t>
      </w:r>
      <w:r w:rsidR="005F36E7" w:rsidRPr="00D836A2">
        <w:t>that is to say taking into account the nature and quantity of each ingredient in the dishes served by professionals</w:t>
      </w:r>
      <w:r w:rsidR="006C4776">
        <w:t>—</w:t>
      </w:r>
      <w:r w:rsidR="005F36E7" w:rsidRPr="00D836A2">
        <w:t xml:space="preserve">and not standard recipes or generic products systematically affiliated with a reading of dish names, as is habitually the case in other studies on school food </w:t>
      </w:r>
      <w:r w:rsidR="00FF17D2">
        <w:fldChar w:fldCharType="begin"/>
      </w:r>
      <w:r w:rsidR="006C5B2D">
        <w:instrText xml:space="preserve"> ADDIN REFMGR.CITE &lt;Refman&gt;&lt;Cite&gt;&lt;Author&gt;Bertin&lt;/Author&gt;&lt;Year&gt;2012&lt;/Year&gt;&lt;RecNum&gt;4202&lt;/RecNum&gt;&lt;IDText&gt;School meals in French secondary state schools: do national recommendations lead to healthier nutrition on offer?&lt;/IDText&gt;&lt;MDL Ref_Type="Journal"&gt;&lt;Ref_Type&gt;Journal&lt;/Ref_Type&gt;&lt;Ref_ID&gt;4202&lt;/Ref_ID&gt;&lt;Title_Primary&gt;School meals in French secondary state schools: do national recommendations lead to healthier nutrition on offer?&lt;/Title_Primary&gt;&lt;Authors_Primary&gt;Bertin,M.&lt;/Authors_Primary&gt;&lt;Authors_Primary&gt;Lafay,L.&lt;/Authors_Primary&gt;&lt;Authors_Primary&gt;Calamassi-Tran,G.&lt;/Authors_Primary&gt;&lt;Authors_Primary&gt;Volatier,J.L.&lt;/Authors_Primary&gt;&lt;Authors_Primary&gt;Dubuisson,C.&lt;/Authors_Primary&gt;&lt;Date_Primary&gt;2012/8/12&lt;/Date_Primary&gt;&lt;Keywords&gt;Agriculture&lt;/Keywords&gt;&lt;Keywords&gt;Carbohydrate&lt;/Keywords&gt;&lt;Keywords&gt;Carbohydrates&lt;/Keywords&gt;&lt;Keywords&gt;children&lt;/Keywords&gt;&lt;Keywords&gt;DIETARY&lt;/Keywords&gt;&lt;Keywords&gt;Education&lt;/Keywords&gt;&lt;Keywords&gt;Energy&lt;/Keywords&gt;&lt;Keywords&gt;Food&lt;/Keywords&gt;&lt;Keywords&gt;Food Habits&lt;/Keywords&gt;&lt;Keywords&gt;France&lt;/Keywords&gt;&lt;Keywords&gt;Guidelines&lt;/Keywords&gt;&lt;Keywords&gt;Habits&lt;/Keywords&gt;&lt;Keywords&gt;health&lt;/Keywords&gt;&lt;Keywords&gt;Human&lt;/Keywords&gt;&lt;Keywords&gt;Is&lt;/Keywords&gt;&lt;Keywords&gt;lipid&lt;/Keywords&gt;&lt;Keywords&gt;Lipids&lt;/Keywords&gt;&lt;Keywords&gt;Nutrition&lt;/Keywords&gt;&lt;Keywords&gt;Occupational Health&lt;/Keywords&gt;&lt;Keywords&gt;protein&lt;/Keywords&gt;&lt;Keywords&gt;Proteins&lt;/Keywords&gt;&lt;Keywords&gt;Safety&lt;/Keywords&gt;&lt;Keywords&gt;sample&lt;/Keywords&gt;&lt;Keywords&gt;Schools&lt;/Keywords&gt;&lt;Keywords&gt;To&lt;/Keywords&gt;&lt;Keywords&gt;vitamin&lt;/Keywords&gt;&lt;Reprint&gt;Not in File&lt;/Reprint&gt;&lt;Start_Page&gt;416&lt;/Start_Page&gt;&lt;End_Page&gt;427&lt;/End_Page&gt;&lt;Periodical&gt;Br.J Nutr&lt;/Periodical&gt;&lt;Volume&gt;107&lt;/Volume&gt;&lt;Address&gt;Human Exposure Factors Unit, French Agency for Food, Environmental and Occupational Health Safety (ANSES), Maisons-Alfort, France&lt;/Address&gt;&lt;Web_URL&gt;PM:21835099&lt;/Web_URL&gt;&lt;Web_URL_Link1&gt;&lt;u&gt;file://C:\Users\Darmon\Documents\Biblio_Doc\PDF et autres Doc\France\AFSSA INCA\Bertin Lafay Dubuisson School meals BJN 2012.pdf&lt;/u&gt;&lt;/Web_URL_Link1&gt;&lt;ZZ_JournalStdAbbrev&gt;&lt;f name="System"&gt;Br.J Nutr&lt;/f&gt;&lt;/ZZ_JournalStdAbbrev&gt;&lt;ZZ_WorkformID&gt;1&lt;/ZZ_WorkformID&gt;&lt;/MDL&gt;&lt;/Cite&gt;&lt;Cite&gt;&lt;Author&gt;Nicholas&lt;/Author&gt;&lt;Year&gt;2013&lt;/Year&gt;&lt;RecNum&gt;5132&lt;/RecNum&gt;&lt;IDText&gt;The impact of the food-based and nutrient-based standards on lunchtime food and drink provision and consumption in secondary schools in England&lt;/IDText&gt;&lt;MDL Ref_Type="Journal"&gt;&lt;Ref_Type&gt;Journal&lt;/Ref_Type&gt;&lt;Ref_ID&gt;5132&lt;/Ref_ID&gt;&lt;Title_Primary&gt;The impact of the food-based and nutrient-based standards on lunchtime food and drink provision and consumption in secondary schools in England&lt;/Title_Primary&gt;&lt;Authors_Primary&gt;Nicholas,J.&lt;/Authors_Primary&gt;&lt;Authors_Primary&gt;Wood,L.&lt;/Authors_Primary&gt;&lt;Authors_Primary&gt;Harper,C.&lt;/Authors_Primary&gt;&lt;Authors_Primary&gt;Nelson,M.&lt;/Authors_Primary&gt;&lt;Date_Primary&gt;2013/6&lt;/Date_Primary&gt;&lt;Keywords&gt;Adolescent&lt;/Keywords&gt;&lt;Keywords&gt;consumption&lt;/Keywords&gt;&lt;Keywords&gt;Cross-Sectional Studies&lt;/Keywords&gt;&lt;Keywords&gt;Diet&lt;/Keywords&gt;&lt;Keywords&gt;Energy&lt;/Keywords&gt;&lt;Keywords&gt;Energy Intake&lt;/Keywords&gt;&lt;Keywords&gt;England&lt;/Keywords&gt;&lt;Keywords&gt;Food&lt;/Keywords&gt;&lt;Keywords&gt;Food Preferences&lt;/Keywords&gt;&lt;Keywords&gt;Food Services&lt;/Keywords&gt;&lt;Keywords&gt;Fruit&lt;/Keywords&gt;&lt;Keywords&gt;Health Behavior&lt;/Keywords&gt;&lt;Keywords&gt;Health Promotion&lt;/Keywords&gt;&lt;Keywords&gt;Humans&lt;/Keywords&gt;&lt;Keywords&gt;Im&lt;/Keywords&gt;&lt;Keywords&gt;Intake&lt;/Keywords&gt;&lt;Keywords&gt;Is&lt;/Keywords&gt;&lt;Keywords&gt;Lunch&lt;/Keywords&gt;&lt;Keywords&gt;Meals&lt;/Keywords&gt;&lt;Keywords&gt;Nutrient&lt;/Keywords&gt;&lt;Keywords&gt;nutrient intake&lt;/Keywords&gt;&lt;Keywords&gt;Nutrition Policy&lt;/Keywords&gt;&lt;Keywords&gt;Nutritive Value&lt;/Keywords&gt;&lt;Keywords&gt;Research&lt;/Keywords&gt;&lt;Keywords&gt;sample&lt;/Keywords&gt;&lt;Keywords&gt;Schools&lt;/Keywords&gt;&lt;Keywords&gt;selection&lt;/Keywords&gt;&lt;Keywords&gt;standards&lt;/Keywords&gt;&lt;Keywords&gt;Time&lt;/Keywords&gt;&lt;Keywords&gt;To&lt;/Keywords&gt;&lt;Keywords&gt;Vegetables&lt;/Keywords&gt;&lt;Keywords&gt;Water&lt;/Keywords&gt;&lt;Keywords&gt;weight&lt;/Keywords&gt;&lt;Reprint&gt;Not in File&lt;/Reprint&gt;&lt;Start_Page&gt;1052&lt;/Start_Page&gt;&lt;End_Page&gt;1065&lt;/End_Page&gt;&lt;Periodical&gt;Public Health Nutr&lt;/Periodical&gt;&lt;Volume&gt;16&lt;/Volume&gt;&lt;Issue&gt;6&lt;/Issue&gt;&lt;Address&gt;Children&amp;apos;s Food Trust, 1 East Parade, Sheffield S1 2ET, UK. jo.nicholas@childrensfoodtrust.org.uk&lt;/Address&gt;&lt;Web_URL&gt;PM:23663430&lt;/Web_URL&gt;&lt;ZZ_JournalStdAbbrev&gt;&lt;f name="System"&gt;Public Health Nutr&lt;/f&gt;&lt;/ZZ_JournalStdAbbrev&gt;&lt;ZZ_WorkformID&gt;1&lt;/ZZ_WorkformID&gt;&lt;/MDL&gt;&lt;/Cite&gt;&lt;Cite&gt;&lt;Author&gt;Wickramasinghe&lt;/Author&gt;&lt;Year&gt;2016&lt;/Year&gt;&lt;RecNum&gt;5030&lt;/RecNum&gt;&lt;IDText&gt;Contribution of healthy and unhealthy primary school meals to greenhouse gas emissions in England: linking nutritional data and greenhouse gas emission data of diets&lt;/IDText&gt;&lt;MDL Ref_Type="Journal"&gt;&lt;Ref_Type&gt;Journal&lt;/Ref_Type&gt;&lt;Ref_ID&gt;5030&lt;/Ref_ID&gt;&lt;Title_Primary&gt;Contribution of healthy and unhealthy primary school meals to greenhouse gas emissions in England: linking nutritional data and greenhouse gas emission data of diets&lt;/Title_Primary&gt;&lt;Authors_Primary&gt;Wickramasinghe,K.K.&lt;/Authors_Primary&gt;&lt;Authors_Primary&gt;Rayner,M.&lt;/Authors_Primary&gt;&lt;Authors_Primary&gt;Goldacre,M.&lt;/Authors_Primary&gt;&lt;Authors_Primary&gt;Townsend,N.&lt;/Authors_Primary&gt;&lt;Authors_Primary&gt;Scarborough,P.&lt;/Authors_Primary&gt;&lt;Date_Primary&gt;2016/10&lt;/Date_Primary&gt;&lt;Keywords&gt;An&lt;/Keywords&gt;&lt;Keywords&gt;children&lt;/Keywords&gt;&lt;Keywords&gt;Diet&lt;/Keywords&gt;&lt;Keywords&gt;disease&lt;/Keywords&gt;&lt;Keywords&gt;England&lt;/Keywords&gt;&lt;Keywords&gt;epidemiology&lt;/Keywords&gt;&lt;Keywords&gt;Fat&lt;/Keywords&gt;&lt;Keywords&gt;Food&lt;/Keywords&gt;&lt;Keywords&gt;health&lt;/Keywords&gt;&lt;Keywords&gt;Is&lt;/Keywords&gt;&lt;Keywords&gt;level&lt;/Keywords&gt;&lt;Keywords&gt;Lunch&lt;/Keywords&gt;&lt;Keywords&gt;Meals&lt;/Keywords&gt;&lt;Keywords&gt;Meat&lt;/Keywords&gt;&lt;Keywords&gt;population&lt;/Keywords&gt;&lt;Keywords&gt;sample&lt;/Keywords&gt;&lt;Keywords&gt;Schools&lt;/Keywords&gt;&lt;Keywords&gt;Students&lt;/Keywords&gt;&lt;Keywords&gt;To&lt;/Keywords&gt;&lt;Keywords&gt;Universities&lt;/Keywords&gt;&lt;Reprint&gt;Not in File&lt;/Reprint&gt;&lt;Start_Page&gt;1162&lt;/Start_Page&gt;&lt;End_Page&gt;1167&lt;/End_Page&gt;&lt;Periodical&gt;Eur.J Clin.Nutr&lt;/Periodical&gt;&lt;Volume&gt;70&lt;/Volume&gt;&lt;Issue&gt;10&lt;/Issue&gt;&lt;Address&gt;British Heart Foundation Centre on Population Approaches for Non-Communicable Disease Prevention, Nuffield Department of Population Health, University of Oxford, Oxford, UK&amp;#xA;British Heart Foundation Centre on Population Approaches for Non-Communicable Disease Prevention, Nuffield Department of Population Health, University of Oxford, Oxford, UK&amp;#xA;Unit of Health Care Epidemiology, Nuffield Department of Population Health, University of Oxford, Oxford, UK&amp;#xA;British Heart Foundation Centre on Population Approaches for Non-Communicable Disease Prevention, Nuffield Department of Population Health, University of Oxford, Oxford, UK&amp;#xA;British Heart Foundation Centre on Population Approaches for Non-Communicable Disease Prevention, Nuffield Department of Population Health, University of Oxford, Oxford, UK&lt;/Address&gt;&lt;Web_URL&gt;PM:27329613&lt;/Web_URL&gt;&lt;Web_URL_Link1&gt;&lt;u&gt;file://C:\Users\Darmon\Documents\Projets_ANR\OCAD\Biblio Environnement\GHGE School meals Rayner 2016.pdf&lt;/u&gt;&lt;/Web_URL_Link1&gt;&lt;ZZ_JournalStdAbbrev&gt;&lt;f name="System"&gt;Eur.J Clin.Nutr&lt;/f&gt;&lt;/ZZ_JournalStdAbbrev&gt;&lt;ZZ_WorkformID&gt;1&lt;/ZZ_WorkformID&gt;&lt;/MDL&gt;&lt;/Cite&gt;&lt;/Refman&gt;</w:instrText>
      </w:r>
      <w:r w:rsidR="00FF17D2">
        <w:fldChar w:fldCharType="separate"/>
      </w:r>
      <w:r w:rsidR="006C5B2D">
        <w:t>[36,47,48]</w:t>
      </w:r>
      <w:r w:rsidR="00FF17D2">
        <w:fldChar w:fldCharType="end"/>
      </w:r>
      <w:r w:rsidR="005F36E7" w:rsidRPr="00D836A2">
        <w:t>. With the exception of sodium and</w:t>
      </w:r>
      <w:r w:rsidR="006C4776">
        <w:t>,</w:t>
      </w:r>
      <w:r w:rsidR="005F36E7" w:rsidRPr="00D836A2">
        <w:t xml:space="preserve"> to a lesser extent</w:t>
      </w:r>
      <w:r w:rsidR="006C4776">
        <w:t>,</w:t>
      </w:r>
      <w:r w:rsidR="005F36E7" w:rsidRPr="00D836A2">
        <w:t xml:space="preserve"> sugars, whose quantities are often still difficult for professionals themselves to estimate, we can therefore consider that the estimated nutrient content was </w:t>
      </w:r>
      <w:r w:rsidR="00F112C2" w:rsidRPr="00D836A2">
        <w:t>very</w:t>
      </w:r>
      <w:r w:rsidR="005F36E7" w:rsidRPr="00D836A2">
        <w:t xml:space="preserve"> precise. It was crucial to attain this level of precision to reliably estimate not only the nutritional quality of the series but also their level of compliance with frequency criteria because these criteria include the nutritional characteristics of dishes that depend directly on how the dishes are prepared. Another strength is the innovative and powerful approach that we elaborated</w:t>
      </w:r>
      <w:r w:rsidR="00F112C2" w:rsidRPr="00D836A2">
        <w:t xml:space="preserve"> to </w:t>
      </w:r>
      <w:r w:rsidR="0050751A" w:rsidRPr="00D836A2">
        <w:t xml:space="preserve">test the nutritional impact of the French </w:t>
      </w:r>
      <w:r w:rsidR="006C4776">
        <w:t xml:space="preserve">school food </w:t>
      </w:r>
      <w:r w:rsidR="0050751A" w:rsidRPr="00D836A2">
        <w:t xml:space="preserve">guidelines. This approach allowed </w:t>
      </w:r>
      <w:r w:rsidR="006C4776">
        <w:t xml:space="preserve">for realistic </w:t>
      </w:r>
      <w:r w:rsidR="0050751A" w:rsidRPr="00D836A2">
        <w:t xml:space="preserve">testing </w:t>
      </w:r>
      <w:r w:rsidR="006C4776">
        <w:t>of</w:t>
      </w:r>
      <w:r w:rsidR="00755485" w:rsidRPr="00D836A2">
        <w:t xml:space="preserve"> </w:t>
      </w:r>
      <w:r w:rsidR="0050751A" w:rsidRPr="00D836A2">
        <w:t xml:space="preserve">the </w:t>
      </w:r>
      <w:r w:rsidR="00F112C2" w:rsidRPr="00D836A2">
        <w:t xml:space="preserve">simultaneous </w:t>
      </w:r>
      <w:r w:rsidR="006C4776">
        <w:t>compliance with</w:t>
      </w:r>
      <w:r w:rsidR="00F112C2" w:rsidRPr="00D836A2">
        <w:t xml:space="preserve"> the 15 frequency criteria</w:t>
      </w:r>
      <w:r w:rsidRPr="00D836A2">
        <w:t xml:space="preserve">, which had until now only been explored separately and partially, notably because of the lack of series complying fully with them </w:t>
      </w:r>
      <w:r w:rsidR="00FF17D2">
        <w:fldChar w:fldCharType="begin"/>
      </w:r>
      <w:r w:rsidR="006C5B2D">
        <w:instrText xml:space="preserve"> ADDIN REFMGR.CITE &lt;Refman&gt;&lt;Cite&gt;&lt;Author&gt;Bertin&lt;/Author&gt;&lt;Year&gt;2012&lt;/Year&gt;&lt;RecNum&gt;4202&lt;/RecNum&gt;&lt;IDText&gt;School meals in French secondary state schools: do national recommendations lead to healthier nutrition on offer?&lt;/IDText&gt;&lt;MDL Ref_Type="Journal"&gt;&lt;Ref_Type&gt;Journal&lt;/Ref_Type&gt;&lt;Ref_ID&gt;4202&lt;/Ref_ID&gt;&lt;Title_Primary&gt;School meals in French secondary state schools: do national recommendations lead to healthier nutrition on offer?&lt;/Title_Primary&gt;&lt;Authors_Primary&gt;Bertin,M.&lt;/Authors_Primary&gt;&lt;Authors_Primary&gt;Lafay,L.&lt;/Authors_Primary&gt;&lt;Authors_Primary&gt;Calamassi-Tran,G.&lt;/Authors_Primary&gt;&lt;Authors_Primary&gt;Volatier,J.L.&lt;/Authors_Primary&gt;&lt;Authors_Primary&gt;Dubuisson,C.&lt;/Authors_Primary&gt;&lt;Date_Primary&gt;2012/8/12&lt;/Date_Primary&gt;&lt;Keywords&gt;Agriculture&lt;/Keywords&gt;&lt;Keywords&gt;Carbohydrate&lt;/Keywords&gt;&lt;Keywords&gt;Carbohydrates&lt;/Keywords&gt;&lt;Keywords&gt;children&lt;/Keywords&gt;&lt;Keywords&gt;DIETARY&lt;/Keywords&gt;&lt;Keywords&gt;Education&lt;/Keywords&gt;&lt;Keywords&gt;Energy&lt;/Keywords&gt;&lt;Keywords&gt;Food&lt;/Keywords&gt;&lt;Keywords&gt;Food Habits&lt;/Keywords&gt;&lt;Keywords&gt;France&lt;/Keywords&gt;&lt;Keywords&gt;Guidelines&lt;/Keywords&gt;&lt;Keywords&gt;Habits&lt;/Keywords&gt;&lt;Keywords&gt;health&lt;/Keywords&gt;&lt;Keywords&gt;Human&lt;/Keywords&gt;&lt;Keywords&gt;Is&lt;/Keywords&gt;&lt;Keywords&gt;lipid&lt;/Keywords&gt;&lt;Keywords&gt;Lipids&lt;/Keywords&gt;&lt;Keywords&gt;Nutrition&lt;/Keywords&gt;&lt;Keywords&gt;Occupational Health&lt;/Keywords&gt;&lt;Keywords&gt;protein&lt;/Keywords&gt;&lt;Keywords&gt;Proteins&lt;/Keywords&gt;&lt;Keywords&gt;Safety&lt;/Keywords&gt;&lt;Keywords&gt;sample&lt;/Keywords&gt;&lt;Keywords&gt;Schools&lt;/Keywords&gt;&lt;Keywords&gt;To&lt;/Keywords&gt;&lt;Keywords&gt;vitamin&lt;/Keywords&gt;&lt;Reprint&gt;Not in File&lt;/Reprint&gt;&lt;Start_Page&gt;416&lt;/Start_Page&gt;&lt;End_Page&gt;427&lt;/End_Page&gt;&lt;Periodical&gt;Br.J Nutr&lt;/Periodical&gt;&lt;Volume&gt;107&lt;/Volume&gt;&lt;Address&gt;Human Exposure Factors Unit, French Agency for Food, Environmental and Occupational Health Safety (ANSES), Maisons-Alfort, France&lt;/Address&gt;&lt;Web_URL&gt;PM:21835099&lt;/Web_URL&gt;&lt;Web_URL_Link1&gt;&lt;u&gt;file://C:\Users\Darmon\Documents\Biblio_Doc\PDF et autres Doc\France\AFSSA INCA\Bertin Lafay Dubuisson School meals BJN 2012.pdf&lt;/u&gt;&lt;/Web_URL_Link1&gt;&lt;ZZ_JournalStdAbbrev&gt;&lt;f name="System"&gt;Br.J Nutr&lt;/f&gt;&lt;/ZZ_JournalStdAbbrev&gt;&lt;ZZ_WorkformID&gt;1&lt;/ZZ_WorkformID&gt;&lt;/MDL&gt;&lt;/Cite&gt;&lt;/Refman&gt;</w:instrText>
      </w:r>
      <w:r w:rsidR="00FF17D2">
        <w:fldChar w:fldCharType="separate"/>
      </w:r>
      <w:r w:rsidR="006C5B2D">
        <w:t>[47]</w:t>
      </w:r>
      <w:r w:rsidR="00FF17D2">
        <w:fldChar w:fldCharType="end"/>
      </w:r>
      <w:r w:rsidRPr="00D836A2">
        <w:t>.</w:t>
      </w:r>
    </w:p>
    <w:p w:rsidR="00EA6423" w:rsidRPr="00D836A2" w:rsidRDefault="00677AAC" w:rsidP="005D10D8">
      <w:pPr>
        <w:pStyle w:val="MDPI21heading1"/>
      </w:pPr>
      <w:r w:rsidRPr="00D836A2">
        <w:t xml:space="preserve">5. </w:t>
      </w:r>
      <w:r w:rsidR="004A7D51" w:rsidRPr="00D836A2">
        <w:t>Conclusions</w:t>
      </w:r>
    </w:p>
    <w:p w:rsidR="00C21E31" w:rsidRPr="00D836A2" w:rsidRDefault="00D43FA0" w:rsidP="00C21E31">
      <w:pPr>
        <w:pStyle w:val="MDPI31text"/>
      </w:pPr>
      <w:r w:rsidRPr="00D836A2">
        <w:t xml:space="preserve">In conclusion, this study revealed the good nutritional quality of a sample of series of meals served at primary schools in France and the nutritional </w:t>
      </w:r>
      <w:r w:rsidR="0050751A" w:rsidRPr="00D836A2">
        <w:t xml:space="preserve">relevance </w:t>
      </w:r>
      <w:r w:rsidRPr="00D836A2">
        <w:t xml:space="preserve">of </w:t>
      </w:r>
      <w:r w:rsidR="005E214A" w:rsidRPr="00D836A2">
        <w:t xml:space="preserve">French </w:t>
      </w:r>
      <w:r w:rsidR="00B03ABF">
        <w:t xml:space="preserve">school food </w:t>
      </w:r>
      <w:r w:rsidR="005E214A" w:rsidRPr="00D836A2">
        <w:t>guidelines</w:t>
      </w:r>
      <w:r w:rsidRPr="00D836A2">
        <w:t xml:space="preserve">. The results suggest that there may be room for intelligently increasing the flexibility of these </w:t>
      </w:r>
      <w:r w:rsidR="005E214A" w:rsidRPr="00D836A2">
        <w:t xml:space="preserve">guidelines </w:t>
      </w:r>
      <w:r w:rsidRPr="00D836A2">
        <w:t xml:space="preserve">because no nutritional benefit was observed above a relative score of 13 (out of 15 </w:t>
      </w:r>
      <w:r w:rsidR="005E214A" w:rsidRPr="00D836A2">
        <w:t xml:space="preserve">frequency </w:t>
      </w:r>
      <w:r w:rsidRPr="00D836A2">
        <w:t xml:space="preserve">criteria). However, in the event of a wide gap from </w:t>
      </w:r>
      <w:r w:rsidR="00C21E31" w:rsidRPr="00D836A2">
        <w:t xml:space="preserve">frequency </w:t>
      </w:r>
      <w:r w:rsidRPr="00D836A2">
        <w:t>criteria</w:t>
      </w:r>
      <w:r w:rsidR="00C21E31" w:rsidRPr="00D836A2">
        <w:t xml:space="preserve"> guidelines</w:t>
      </w:r>
      <w:r w:rsidRPr="00D836A2">
        <w:t xml:space="preserve">, whether for all criteria or those addressing protein dish service, a risk of worsening nutritional quality was shown. Thus, in the absence of </w:t>
      </w:r>
      <w:r w:rsidR="00B03ABF">
        <w:t xml:space="preserve">a </w:t>
      </w:r>
      <w:r w:rsidRPr="00D836A2">
        <w:t>precise definition of the nutritional characteristics of protein dishes without meat or fish, the generalization of their service in schools could harm the nutritional balance of meals served to children.</w:t>
      </w:r>
    </w:p>
    <w:p w:rsidR="00E32C95" w:rsidRPr="00D836A2" w:rsidRDefault="00EA6423" w:rsidP="005D10D8">
      <w:pPr>
        <w:pStyle w:val="MDPI62Acknowledgments"/>
      </w:pPr>
      <w:r w:rsidRPr="00D836A2">
        <w:rPr>
          <w:b/>
        </w:rPr>
        <w:t>Acknowledgments:</w:t>
      </w:r>
      <w:r w:rsidRPr="00D836A2">
        <w:t xml:space="preserve"> </w:t>
      </w:r>
      <w:r w:rsidR="00E32C95" w:rsidRPr="00D836A2">
        <w:t>The authors extend their thanks to all of the study Steering Committee, Malu-Séverine Gaubart and Elisabeth Cadiou for data entry, and Marie-Line Huc and Michel Darmon for the preliminary research.</w:t>
      </w:r>
    </w:p>
    <w:p w:rsidR="00EA6423" w:rsidRPr="00D836A2" w:rsidRDefault="00EA6423" w:rsidP="005D10D8">
      <w:pPr>
        <w:pStyle w:val="MDPI62Acknowledgments"/>
        <w:rPr>
          <w:b/>
        </w:rPr>
      </w:pPr>
      <w:r w:rsidRPr="00D836A2">
        <w:rPr>
          <w:b/>
        </w:rPr>
        <w:t xml:space="preserve">Author Contributions: </w:t>
      </w:r>
      <w:r w:rsidR="00895C4D" w:rsidRPr="00D836A2">
        <w:t>Dr</w:t>
      </w:r>
      <w:r w:rsidR="00572685">
        <w:t>.</w:t>
      </w:r>
      <w:r w:rsidR="00895C4D" w:rsidRPr="00D836A2">
        <w:t xml:space="preserve"> Florent Vieux conceived and designed the study, analyzed the data, reviewed and revised the manuscript and approved the final manuscript as submitted</w:t>
      </w:r>
      <w:r w:rsidR="005D10D8" w:rsidRPr="00D836A2">
        <w:rPr>
          <w:b/>
        </w:rPr>
        <w:t xml:space="preserve">. </w:t>
      </w:r>
      <w:r w:rsidR="00895C4D" w:rsidRPr="00D836A2">
        <w:t>Dr</w:t>
      </w:r>
      <w:r w:rsidR="00572685">
        <w:t>.</w:t>
      </w:r>
      <w:r w:rsidR="00895C4D" w:rsidRPr="00D836A2">
        <w:t xml:space="preserve"> Christophe Dubois conceived and designed the study, collected the data, reviewed and revised the manuscript, and approved the final manuscript as submitted</w:t>
      </w:r>
      <w:r w:rsidR="005D10D8" w:rsidRPr="00D836A2">
        <w:rPr>
          <w:b/>
        </w:rPr>
        <w:t xml:space="preserve">. </w:t>
      </w:r>
      <w:r w:rsidR="00895C4D" w:rsidRPr="00D836A2">
        <w:t>Christelle Duchêne conceived and designed the study, reviewed and revised the manuscript, and approved the final manuscript as submitted</w:t>
      </w:r>
      <w:r w:rsidR="005D10D8" w:rsidRPr="00D836A2">
        <w:rPr>
          <w:b/>
        </w:rPr>
        <w:t xml:space="preserve">. </w:t>
      </w:r>
      <w:r w:rsidR="00895C4D" w:rsidRPr="00D836A2">
        <w:t>Dr</w:t>
      </w:r>
      <w:r w:rsidR="00572685">
        <w:t>.</w:t>
      </w:r>
      <w:r w:rsidR="00895C4D" w:rsidRPr="00D836A2">
        <w:t xml:space="preserve"> Nicole Darmon conceived and designed the study, wrote the paper, reviewed and revised the manuscript</w:t>
      </w:r>
      <w:r w:rsidR="00572685">
        <w:t>,</w:t>
      </w:r>
      <w:r w:rsidR="00895C4D" w:rsidRPr="00D836A2">
        <w:t xml:space="preserve"> and approved the final manuscript as submitted</w:t>
      </w:r>
      <w:r w:rsidR="005D10D8" w:rsidRPr="00D836A2">
        <w:rPr>
          <w:b/>
        </w:rPr>
        <w:t xml:space="preserve">. </w:t>
      </w:r>
      <w:r w:rsidR="00895C4D" w:rsidRPr="00D836A2">
        <w:t>All authors approved the final manuscript as submitted and agree to be accountable for all aspects of the work.</w:t>
      </w:r>
    </w:p>
    <w:p w:rsidR="00EA6423" w:rsidRPr="00D836A2" w:rsidRDefault="00EA6423" w:rsidP="005D10D8">
      <w:pPr>
        <w:pStyle w:val="MDPI62Acknowledgments"/>
      </w:pPr>
      <w:r w:rsidRPr="00D836A2">
        <w:rPr>
          <w:b/>
        </w:rPr>
        <w:t>Conflicts of Interest:</w:t>
      </w:r>
      <w:r w:rsidRPr="00D836A2">
        <w:t xml:space="preserve"> </w:t>
      </w:r>
      <w:r w:rsidR="00E32C95" w:rsidRPr="00D836A2">
        <w:t>This study was financed by: FranceAgriMer; CIV – Viande, Sciences et Société with the support of INTERBEV (Interprofession Bétail et Viande), INAPORC (Interprofession Nationale Porcine) and Restau’co (a network of directly managed public catering professionals); the SNRC (Syndicat National de la Restauration Collective); and INTERFEL (Interprofession des Fruits et Légumes Frais). Florent Vieux is employed by MS-Nutrition, a company that received funding to produce this study. Christophe Dubois is employed by Trophis, a company that received funding to produce this study.</w:t>
      </w:r>
    </w:p>
    <w:p w:rsidR="00CD52BE" w:rsidRPr="00D836A2" w:rsidRDefault="001902DB" w:rsidP="005B5243">
      <w:pPr>
        <w:pStyle w:val="MDPI21heading1"/>
      </w:pPr>
      <w:r>
        <w:t xml:space="preserve">Appendix </w:t>
      </w:r>
      <w:r w:rsidR="005355A8">
        <w:t>A</w:t>
      </w:r>
    </w:p>
    <w:p w:rsidR="00CD52BE" w:rsidRPr="00D836A2" w:rsidRDefault="00CD52BE" w:rsidP="00CD52BE">
      <w:pPr>
        <w:pStyle w:val="MDPI31text"/>
      </w:pPr>
      <w:r w:rsidRPr="00D836A2">
        <w:t>In the first scenario—“Compliance with Observed Series”—series of meals were generated to produce series that were close to what was observed while gaining high statistical strength.</w:t>
      </w:r>
      <w:r w:rsidR="00370039" w:rsidRPr="00D836A2">
        <w:t xml:space="preserve"> Each of the 40 observed series was repeated 40 times by keeping the same service frequency of the meals while including different dishes.</w:t>
      </w:r>
      <w:r w:rsidRPr="00D836A2">
        <w:t xml:space="preserve"> </w:t>
      </w:r>
      <w:r w:rsidR="001A1689" w:rsidRPr="00D836A2">
        <w:t xml:space="preserve">For example, if an observed series contained five “starters containing more than 15% fat”, all the 40 series simulated based on this series also contained five </w:t>
      </w:r>
      <w:r w:rsidR="001A1689" w:rsidRPr="00D836A2">
        <w:lastRenderedPageBreak/>
        <w:t xml:space="preserve">“starters containing more than 15% fat” but each dish introduced in each simulated series was selected using a weighted random sampling (for example, if a grated celery salad containing more than 15% fat was served ten times more often than a cheese puff pastry containing more than 15% fat in the observed series, then grated celery salad was 10 times more likely to be selected than cheese puff pastry in simulated </w:t>
      </w:r>
      <w:r w:rsidR="00F73002">
        <w:t>series</w:t>
      </w:r>
      <w:r w:rsidR="001A1689" w:rsidRPr="00D836A2">
        <w:t>). In all, 1,600 (40 x 40) series were simulated in this scenario.</w:t>
      </w:r>
    </w:p>
    <w:p w:rsidR="00CD52BE" w:rsidRPr="00D836A2" w:rsidRDefault="00CD52BE" w:rsidP="00CD52BE">
      <w:pPr>
        <w:pStyle w:val="MDPI31text"/>
      </w:pPr>
      <w:r w:rsidRPr="00D836A2">
        <w:t xml:space="preserve">In the second scenario—“Complete Compliance with FC”—series of meals in which all 15 FC were followed exactly were generated. All of the structures compatible with compliance with FC while remaining within realistic frequency ranges were first counted. These realistically </w:t>
      </w:r>
      <w:r w:rsidR="0082208E" w:rsidRPr="00D836A2">
        <w:t xml:space="preserve">complying ranges </w:t>
      </w:r>
      <w:r w:rsidRPr="00D836A2">
        <w:t xml:space="preserve">were identified from 40 observed series as follows: </w:t>
      </w:r>
      <w:r w:rsidR="0082208E">
        <w:t>F</w:t>
      </w:r>
      <w:r w:rsidRPr="00D836A2">
        <w:t>or example, if all the observed series respecting the frequency criterion “starters containing more than 15% fat: 4/20 max” always contained at least 2 (and never 0 or 1) “starters with more than 15% fat”, then the frequency range realistically complying with the criterion would be 2-4 (even though the authorized range was 0-4). In all, 3,024,000 structures of series realistically complying with all 15 FC were enumerated, within which 1,600 structures were derived so as to obtain the same representativeness of compliance with each criterion (e.g. if, among the observed series complying with the criterion “starters containing more than 15% fat: 4/20 max”, we observed 25% of them contained two starters containing more than 15% fat, 25% containing 3 starters containing more than 15% fat, and 50% containing 4 starters containing more than 15% fat, then these proportions were maintained in the simulation). Then, as previously, dishes were allocated to each of the 1,600 structures, taking into account the classification of each dish in regard to the 15 FC and its degree of appearance in the observed series.</w:t>
      </w:r>
    </w:p>
    <w:p w:rsidR="00CD52BE" w:rsidRPr="00D836A2" w:rsidRDefault="001A1689" w:rsidP="00CD52BE">
      <w:pPr>
        <w:pStyle w:val="MDPI31text"/>
      </w:pPr>
      <w:r w:rsidRPr="00D836A2">
        <w:t xml:space="preserve">In the third scenario—“Zero Compliance with </w:t>
      </w:r>
      <w:r w:rsidR="00D56657" w:rsidRPr="00D836A2">
        <w:t>FC</w:t>
      </w:r>
      <w:r w:rsidRPr="00D836A2">
        <w:t>”—series that complied with none of the regulatory frequency criteria while remaining within realistic and representative frequency ranges were generated.</w:t>
      </w:r>
      <w:r w:rsidR="00CD52BE" w:rsidRPr="00D836A2">
        <w:t xml:space="preserve"> For example, if no observed series contained 10 “starters containing more than 15% fat”, then this was also the case for the “Zero Compliance with FC” series. In addition, if, among the observed series that did not comply with the “starter containing more than 15% fat: 4/20 max”, 75% had five and 25% had six, then these proportions were repeated in the simulation. This concern for realism also led us to decide that if a frequency criterion was followed in all observed series, it would also be followed in the “Zero Compliance with FC” series.</w:t>
      </w:r>
    </w:p>
    <w:p w:rsidR="00CD52BE" w:rsidRPr="00D836A2" w:rsidRDefault="00CD52BE" w:rsidP="001A1689">
      <w:pPr>
        <w:pStyle w:val="MDPI31text"/>
      </w:pPr>
      <w:r w:rsidRPr="00D836A2">
        <w:t>In the fourth scenario—“Removal of the Protein Dish with No Replacement”—series of meals were generated by removing all protein dishes from the “Complete Compliance with FC” series (generated in the second scenario).</w:t>
      </w:r>
    </w:p>
    <w:p w:rsidR="00C7091C" w:rsidRPr="00D836A2" w:rsidRDefault="00CD52BE">
      <w:pPr>
        <w:pStyle w:val="MDPI31text"/>
      </w:pPr>
      <w:r w:rsidRPr="00D836A2">
        <w:t xml:space="preserve">In the fifth and last scenario—“Replacement of Meat and Fish by Other Dishes”—series of meals were generated by randomly replacing the protein dishes and starters containing meat or fish in the “Complete Compliance with FC” series (generated in the second scenario) with protein dishes and starters that did not contain meat or fish. It should be noted that dishes “without meat or fish” are defined as “vegetarian” under the GEM-RCN’s Nutrition Recommendations </w:t>
      </w:r>
      <w:r w:rsidR="00FF17D2">
        <w:fldChar w:fldCharType="begin"/>
      </w:r>
      <w:r w:rsidR="006C5B2D">
        <w:instrText xml:space="preserve"> ADDIN REFMGR.CITE &lt;Refman&gt;&lt;Cite&gt;&lt;Author&gt;Minist&amp;#xE8;re de l&amp;apos;Economie&lt;/Author&gt;&lt;Year&gt;2015&lt;/Year&gt;&lt;RecNum&gt;5113&lt;/RecNum&gt;&lt;IDText&gt;Recommandation Nutrition,Version 2.0 Juillet 2015&lt;/IDText&gt;&lt;MDL Ref_Type="Journal"&gt;&lt;Ref_Type&gt;Journal&lt;/Ref_Type&gt;&lt;Ref_ID&gt;5113&lt;/Ref_ID&gt;&lt;Title_Primary&gt;Recommandation Nutrition,Version 2.0 Juillet 2015&lt;/Title_Primary&gt;&lt;Authors_Primary&gt;Minist&amp;#xE8;re de l&amp;apos;Economie&lt;/Authors_Primary&gt;&lt;Authors_Primary&gt;Direction des Affaires Juridiques&lt;/Authors_Primary&gt;&lt;Authors_Primary&gt;Observatoire Economique de l&amp;apos;Achat Public&lt;/Authors_Primary&gt;&lt;Authors_Primary&gt;Groupe d&amp;apos;Etude des March&amp;#xE9;s Restauration Collective et de Nutrition (GEM-RCN)&lt;/Authors_Primary&gt;&lt;Date_Primary&gt;2015&lt;/Date_Primary&gt;&lt;Keywords&gt;De&lt;/Keywords&gt;&lt;Keywords&gt;Du&lt;/Keywords&gt;&lt;Keywords&gt;Et&lt;/Keywords&gt;&lt;Keywords&gt;Nutrition&lt;/Keywords&gt;&lt;Reprint&gt;Not in File&lt;/Reprint&gt;&lt;Periodical&gt;Version 2.0 Juillet 2015&lt;/Periodical&gt;&lt;Volume&gt;[en ligne] (Consult&amp;#xE9; le 25 juin 2017) https://www.economie.gouv.fr/daj/recommandation-nutrition&lt;/Volume&gt;&lt;ZZ_JournalStdAbbrev&gt;&lt;f name="System"&gt;Version 2.0 Juillet 2015&lt;/f&gt;&lt;/ZZ_JournalStdAbbrev&gt;&lt;ZZ_WorkformID&gt;1&lt;/ZZ_WorkformID&gt;&lt;/MDL&gt;&lt;/Cite&gt;&lt;/Refman&gt;</w:instrText>
      </w:r>
      <w:r w:rsidR="00FF17D2">
        <w:fldChar w:fldCharType="separate"/>
      </w:r>
      <w:r w:rsidR="006C5B2D">
        <w:t>[13]</w:t>
      </w:r>
      <w:r w:rsidR="00FF17D2">
        <w:fldChar w:fldCharType="end"/>
      </w:r>
      <w:r w:rsidRPr="00D836A2">
        <w:t>. In order to have sufficient diversity in the simulated series for this scenario, 32 dishes served as protein dishes without meat or fish and not included in the dishes present in the 40 series of 20 meals were specifically collected from the partners. These additional technical files corresponded to dishes actually served in schools as alternatives to meat or fish dishes.</w:t>
      </w:r>
    </w:p>
    <w:p w:rsidR="005B5243" w:rsidRPr="00D836A2" w:rsidRDefault="00EA6423" w:rsidP="005B5243">
      <w:pPr>
        <w:pStyle w:val="MDPI21heading1"/>
      </w:pPr>
      <w:r w:rsidRPr="00D836A2">
        <w:t xml:space="preserve">Appendix </w:t>
      </w:r>
      <w:r w:rsidR="005355A8">
        <w:t>B</w:t>
      </w:r>
      <w:r w:rsidR="005B5243" w:rsidRPr="00D836A2">
        <w:t xml:space="preserve"> </w:t>
      </w:r>
    </w:p>
    <w:p w:rsidR="005B5243" w:rsidRPr="00D836A2" w:rsidRDefault="005B5243" w:rsidP="005D10D8">
      <w:pPr>
        <w:pStyle w:val="MDPI41tablecaption"/>
        <w:jc w:val="center"/>
      </w:pPr>
      <w:r w:rsidRPr="00D836A2">
        <w:rPr>
          <w:b/>
        </w:rPr>
        <w:t>Table A</w:t>
      </w:r>
      <w:r w:rsidR="005355A8">
        <w:rPr>
          <w:b/>
        </w:rPr>
        <w:t>1</w:t>
      </w:r>
      <w:r w:rsidRPr="00D836A2">
        <w:rPr>
          <w:b/>
        </w:rPr>
        <w:t>.</w:t>
      </w:r>
      <w:r w:rsidRPr="00D836A2">
        <w:t xml:space="preserve"> Categorization and </w:t>
      </w:r>
      <w:r w:rsidR="000A6F0E" w:rsidRPr="00D836A2">
        <w:t>d</w:t>
      </w:r>
      <w:r w:rsidRPr="00D836A2">
        <w:t xml:space="preserve">istribution of </w:t>
      </w:r>
      <w:r w:rsidR="00FF432A">
        <w:t>dishes</w:t>
      </w:r>
      <w:r w:rsidRPr="00D836A2">
        <w:t xml:space="preserve"> per </w:t>
      </w:r>
      <w:r w:rsidR="000A6F0E" w:rsidRPr="00D836A2">
        <w:t>m</w:t>
      </w:r>
      <w:r w:rsidRPr="00D836A2">
        <w:t xml:space="preserve">eal </w:t>
      </w:r>
      <w:r w:rsidR="000A6F0E" w:rsidRPr="00D836A2">
        <w:t>c</w:t>
      </w:r>
      <w:r w:rsidRPr="00D836A2">
        <w:t xml:space="preserve">omponent in the 40 </w:t>
      </w:r>
      <w:r w:rsidR="000A6F0E" w:rsidRPr="00D836A2">
        <w:t>observed s</w:t>
      </w:r>
      <w:r w:rsidRPr="00D836A2">
        <w:t>eries</w:t>
      </w:r>
    </w:p>
    <w:tbl>
      <w:tblPr>
        <w:tblW w:w="0" w:type="auto"/>
        <w:jc w:val="center"/>
        <w:tblBorders>
          <w:top w:val="single" w:sz="12" w:space="0" w:color="auto"/>
          <w:bottom w:val="single" w:sz="12" w:space="0" w:color="auto"/>
          <w:insideH w:val="single" w:sz="12" w:space="0" w:color="auto"/>
        </w:tblBorders>
        <w:tblLook w:val="04A0" w:firstRow="1" w:lastRow="0" w:firstColumn="1" w:lastColumn="0" w:noHBand="0" w:noVBand="1"/>
      </w:tblPr>
      <w:tblGrid>
        <w:gridCol w:w="1475"/>
        <w:gridCol w:w="1762"/>
        <w:gridCol w:w="965"/>
      </w:tblGrid>
      <w:tr w:rsidR="005B5243" w:rsidRPr="00D836A2" w:rsidTr="005D10D8">
        <w:trPr>
          <w:jc w:val="center"/>
        </w:trPr>
        <w:tc>
          <w:tcPr>
            <w:tcW w:w="0" w:type="auto"/>
            <w:tcBorders>
              <w:bottom w:val="single" w:sz="4" w:space="0" w:color="auto"/>
            </w:tcBorders>
            <w:shd w:val="clear" w:color="auto" w:fill="auto"/>
          </w:tcPr>
          <w:p w:rsidR="005B5243" w:rsidRPr="00D836A2" w:rsidRDefault="005B5243" w:rsidP="005D10D8">
            <w:pPr>
              <w:pStyle w:val="MDPI42tablebody"/>
              <w:autoSpaceDE w:val="0"/>
              <w:autoSpaceDN w:val="0"/>
              <w:jc w:val="center"/>
              <w:rPr>
                <w:b w:val="0"/>
              </w:rPr>
            </w:pPr>
            <w:r w:rsidRPr="00D836A2">
              <w:rPr>
                <w:b w:val="0"/>
              </w:rPr>
              <w:t>Component</w:t>
            </w:r>
          </w:p>
        </w:tc>
        <w:tc>
          <w:tcPr>
            <w:tcW w:w="0" w:type="auto"/>
            <w:tcBorders>
              <w:bottom w:val="single" w:sz="4" w:space="0" w:color="auto"/>
            </w:tcBorders>
            <w:shd w:val="clear" w:color="auto" w:fill="auto"/>
          </w:tcPr>
          <w:p w:rsidR="005B5243" w:rsidRPr="00D836A2" w:rsidRDefault="005B5243" w:rsidP="005D10D8">
            <w:pPr>
              <w:pStyle w:val="MDPI42tablebody"/>
              <w:autoSpaceDE w:val="0"/>
              <w:autoSpaceDN w:val="0"/>
              <w:jc w:val="center"/>
              <w:rPr>
                <w:b w:val="0"/>
              </w:rPr>
            </w:pPr>
            <w:r w:rsidRPr="00D836A2">
              <w:rPr>
                <w:b w:val="0"/>
              </w:rPr>
              <w:t>Category</w:t>
            </w:r>
          </w:p>
        </w:tc>
        <w:tc>
          <w:tcPr>
            <w:tcW w:w="0" w:type="auto"/>
            <w:tcBorders>
              <w:bottom w:val="single" w:sz="4" w:space="0" w:color="auto"/>
            </w:tcBorders>
            <w:shd w:val="clear" w:color="auto" w:fill="auto"/>
          </w:tcPr>
          <w:p w:rsidR="005B5243" w:rsidRPr="00D836A2" w:rsidRDefault="005B5243" w:rsidP="005D10D8">
            <w:pPr>
              <w:pStyle w:val="MDPI42tablebody"/>
              <w:autoSpaceDE w:val="0"/>
              <w:autoSpaceDN w:val="0"/>
              <w:jc w:val="center"/>
              <w:rPr>
                <w:b w:val="0"/>
              </w:rPr>
            </w:pPr>
            <w:r w:rsidRPr="00D836A2">
              <w:rPr>
                <w:b w:val="0"/>
              </w:rPr>
              <w:t>Number</w:t>
            </w:r>
          </w:p>
        </w:tc>
      </w:tr>
      <w:tr w:rsidR="005B5243" w:rsidRPr="00D836A2" w:rsidTr="005D10D8">
        <w:trPr>
          <w:jc w:val="center"/>
        </w:trPr>
        <w:tc>
          <w:tcPr>
            <w:tcW w:w="0" w:type="auto"/>
            <w:vMerge w:val="restart"/>
            <w:tcBorders>
              <w:top w:val="single" w:sz="4" w:space="0" w:color="auto"/>
              <w:bottom w:val="single" w:sz="4" w:space="0" w:color="auto"/>
            </w:tcBorders>
            <w:shd w:val="clear" w:color="auto" w:fill="auto"/>
          </w:tcPr>
          <w:p w:rsidR="005B5243" w:rsidRPr="00D836A2" w:rsidRDefault="005B5243" w:rsidP="005D10D8">
            <w:pPr>
              <w:pStyle w:val="MDPI42tablebody"/>
              <w:autoSpaceDE w:val="0"/>
              <w:autoSpaceDN w:val="0"/>
              <w:jc w:val="center"/>
              <w:rPr>
                <w:b w:val="0"/>
              </w:rPr>
            </w:pPr>
            <w:r w:rsidRPr="00D836A2">
              <w:rPr>
                <w:b w:val="0"/>
              </w:rPr>
              <w:t>Starter</w:t>
            </w:r>
          </w:p>
        </w:tc>
        <w:tc>
          <w:tcPr>
            <w:tcW w:w="0" w:type="auto"/>
            <w:tcBorders>
              <w:top w:val="single" w:sz="4" w:space="0" w:color="auto"/>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Vegetables</w:t>
            </w:r>
          </w:p>
        </w:tc>
        <w:tc>
          <w:tcPr>
            <w:tcW w:w="0" w:type="auto"/>
            <w:tcBorders>
              <w:top w:val="single" w:sz="4" w:space="0" w:color="auto"/>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521</w:t>
            </w:r>
          </w:p>
        </w:tc>
      </w:tr>
      <w:tr w:rsidR="005B5243" w:rsidRPr="00D836A2" w:rsidTr="005D10D8">
        <w:trPr>
          <w:jc w:val="center"/>
        </w:trPr>
        <w:tc>
          <w:tcPr>
            <w:tcW w:w="0" w:type="auto"/>
            <w:vMerge/>
            <w:tcBorders>
              <w:top w:val="nil"/>
              <w:bottom w:val="single" w:sz="4" w:space="0" w:color="auto"/>
            </w:tcBorders>
            <w:shd w:val="clear" w:color="auto" w:fill="auto"/>
          </w:tcPr>
          <w:p w:rsidR="005B5243" w:rsidRPr="00D836A2" w:rsidRDefault="005B5243" w:rsidP="005D10D8">
            <w:pPr>
              <w:pStyle w:val="MDPI42tablebody"/>
              <w:autoSpaceDE w:val="0"/>
              <w:autoSpaceDN w:val="0"/>
              <w:jc w:val="center"/>
              <w:rPr>
                <w:b w:val="0"/>
              </w:rPr>
            </w:pP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Starches</w:t>
            </w: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160</w:t>
            </w:r>
          </w:p>
        </w:tc>
      </w:tr>
      <w:tr w:rsidR="005B5243" w:rsidRPr="00D836A2" w:rsidTr="005D10D8">
        <w:trPr>
          <w:jc w:val="center"/>
        </w:trPr>
        <w:tc>
          <w:tcPr>
            <w:tcW w:w="0" w:type="auto"/>
            <w:vMerge/>
            <w:tcBorders>
              <w:top w:val="nil"/>
              <w:bottom w:val="single" w:sz="4" w:space="0" w:color="auto"/>
            </w:tcBorders>
            <w:shd w:val="clear" w:color="auto" w:fill="auto"/>
          </w:tcPr>
          <w:p w:rsidR="005B5243" w:rsidRPr="00D836A2" w:rsidRDefault="005B5243" w:rsidP="005D10D8">
            <w:pPr>
              <w:pStyle w:val="MDPI42tablebody"/>
              <w:autoSpaceDE w:val="0"/>
              <w:autoSpaceDN w:val="0"/>
              <w:jc w:val="center"/>
              <w:rPr>
                <w:b w:val="0"/>
              </w:rPr>
            </w:pP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Deli Meats</w:t>
            </w: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37</w:t>
            </w:r>
          </w:p>
        </w:tc>
      </w:tr>
      <w:tr w:rsidR="005B5243" w:rsidRPr="00D836A2" w:rsidTr="005D10D8">
        <w:trPr>
          <w:jc w:val="center"/>
        </w:trPr>
        <w:tc>
          <w:tcPr>
            <w:tcW w:w="0" w:type="auto"/>
            <w:vMerge/>
            <w:tcBorders>
              <w:top w:val="nil"/>
              <w:bottom w:val="single" w:sz="4" w:space="0" w:color="auto"/>
            </w:tcBorders>
            <w:shd w:val="clear" w:color="auto" w:fill="auto"/>
          </w:tcPr>
          <w:p w:rsidR="005B5243" w:rsidRPr="00D836A2" w:rsidRDefault="005B5243" w:rsidP="005D10D8">
            <w:pPr>
              <w:pStyle w:val="MDPI42tablebody"/>
              <w:autoSpaceDE w:val="0"/>
              <w:autoSpaceDN w:val="0"/>
              <w:jc w:val="center"/>
              <w:rPr>
                <w:b w:val="0"/>
              </w:rPr>
            </w:pP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Cheese</w:t>
            </w: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29</w:t>
            </w:r>
          </w:p>
        </w:tc>
      </w:tr>
      <w:tr w:rsidR="005B5243" w:rsidRPr="00D836A2" w:rsidTr="005D10D8">
        <w:trPr>
          <w:jc w:val="center"/>
        </w:trPr>
        <w:tc>
          <w:tcPr>
            <w:tcW w:w="0" w:type="auto"/>
            <w:vMerge/>
            <w:tcBorders>
              <w:top w:val="nil"/>
              <w:bottom w:val="single" w:sz="4" w:space="0" w:color="auto"/>
            </w:tcBorders>
            <w:shd w:val="clear" w:color="auto" w:fill="auto"/>
          </w:tcPr>
          <w:p w:rsidR="005B5243" w:rsidRPr="00D836A2" w:rsidRDefault="005B5243" w:rsidP="005D10D8">
            <w:pPr>
              <w:pStyle w:val="MDPI42tablebody"/>
              <w:autoSpaceDE w:val="0"/>
              <w:autoSpaceDN w:val="0"/>
              <w:jc w:val="center"/>
              <w:rPr>
                <w:b w:val="0"/>
              </w:rPr>
            </w:pP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Fruits</w:t>
            </w: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23</w:t>
            </w:r>
          </w:p>
        </w:tc>
      </w:tr>
      <w:tr w:rsidR="005B5243" w:rsidRPr="00D836A2" w:rsidTr="005D10D8">
        <w:trPr>
          <w:jc w:val="center"/>
        </w:trPr>
        <w:tc>
          <w:tcPr>
            <w:tcW w:w="0" w:type="auto"/>
            <w:vMerge/>
            <w:tcBorders>
              <w:top w:val="nil"/>
              <w:bottom w:val="single" w:sz="4" w:space="0" w:color="auto"/>
            </w:tcBorders>
            <w:shd w:val="clear" w:color="auto" w:fill="auto"/>
          </w:tcPr>
          <w:p w:rsidR="005B5243" w:rsidRPr="00D836A2" w:rsidRDefault="005B5243" w:rsidP="005D10D8">
            <w:pPr>
              <w:pStyle w:val="MDPI42tablebody"/>
              <w:autoSpaceDE w:val="0"/>
              <w:autoSpaceDN w:val="0"/>
              <w:jc w:val="center"/>
              <w:rPr>
                <w:b w:val="0"/>
              </w:rPr>
            </w:pP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Eggs</w:t>
            </w: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10</w:t>
            </w:r>
          </w:p>
        </w:tc>
      </w:tr>
      <w:tr w:rsidR="005B5243" w:rsidRPr="00D836A2" w:rsidTr="005D10D8">
        <w:trPr>
          <w:jc w:val="center"/>
        </w:trPr>
        <w:tc>
          <w:tcPr>
            <w:tcW w:w="0" w:type="auto"/>
            <w:vMerge/>
            <w:tcBorders>
              <w:top w:val="single" w:sz="4" w:space="0" w:color="auto"/>
              <w:bottom w:val="single" w:sz="4" w:space="0" w:color="auto"/>
            </w:tcBorders>
            <w:shd w:val="clear" w:color="auto" w:fill="auto"/>
          </w:tcPr>
          <w:p w:rsidR="005B5243" w:rsidRPr="00D836A2" w:rsidRDefault="005B5243" w:rsidP="005D10D8">
            <w:pPr>
              <w:pStyle w:val="MDPI42tablebody"/>
              <w:autoSpaceDE w:val="0"/>
              <w:autoSpaceDN w:val="0"/>
              <w:jc w:val="center"/>
              <w:rPr>
                <w:b w:val="0"/>
              </w:rPr>
            </w:pPr>
          </w:p>
        </w:tc>
        <w:tc>
          <w:tcPr>
            <w:tcW w:w="0" w:type="auto"/>
            <w:tcBorders>
              <w:top w:val="nil"/>
              <w:bottom w:val="single" w:sz="4" w:space="0" w:color="auto"/>
            </w:tcBorders>
            <w:shd w:val="clear" w:color="auto" w:fill="auto"/>
          </w:tcPr>
          <w:p w:rsidR="005B5243" w:rsidRPr="00D836A2" w:rsidRDefault="005B5243" w:rsidP="005D10D8">
            <w:pPr>
              <w:pStyle w:val="MDPI42tablebody"/>
              <w:autoSpaceDE w:val="0"/>
              <w:autoSpaceDN w:val="0"/>
              <w:jc w:val="center"/>
              <w:rPr>
                <w:b w:val="0"/>
              </w:rPr>
            </w:pPr>
            <w:r w:rsidRPr="00D836A2">
              <w:rPr>
                <w:b w:val="0"/>
              </w:rPr>
              <w:t>Fish</w:t>
            </w:r>
          </w:p>
        </w:tc>
        <w:tc>
          <w:tcPr>
            <w:tcW w:w="0" w:type="auto"/>
            <w:tcBorders>
              <w:top w:val="nil"/>
              <w:bottom w:val="single" w:sz="4" w:space="0" w:color="auto"/>
            </w:tcBorders>
            <w:shd w:val="clear" w:color="auto" w:fill="auto"/>
          </w:tcPr>
          <w:p w:rsidR="005B5243" w:rsidRPr="00D836A2" w:rsidRDefault="005B5243" w:rsidP="005D10D8">
            <w:pPr>
              <w:pStyle w:val="MDPI42tablebody"/>
              <w:autoSpaceDE w:val="0"/>
              <w:autoSpaceDN w:val="0"/>
              <w:jc w:val="center"/>
              <w:rPr>
                <w:b w:val="0"/>
              </w:rPr>
            </w:pPr>
            <w:r w:rsidRPr="00D836A2">
              <w:rPr>
                <w:b w:val="0"/>
              </w:rPr>
              <w:t>9</w:t>
            </w:r>
          </w:p>
        </w:tc>
      </w:tr>
      <w:tr w:rsidR="005B5243" w:rsidRPr="00D836A2" w:rsidTr="005D10D8">
        <w:trPr>
          <w:jc w:val="center"/>
        </w:trPr>
        <w:tc>
          <w:tcPr>
            <w:tcW w:w="0" w:type="auto"/>
            <w:vMerge w:val="restart"/>
            <w:tcBorders>
              <w:top w:val="single" w:sz="4" w:space="0" w:color="auto"/>
            </w:tcBorders>
            <w:shd w:val="clear" w:color="auto" w:fill="auto"/>
          </w:tcPr>
          <w:p w:rsidR="005B5243" w:rsidRPr="00D836A2" w:rsidRDefault="005B5243" w:rsidP="005D10D8">
            <w:pPr>
              <w:pStyle w:val="MDPI42tablebody"/>
              <w:autoSpaceDE w:val="0"/>
              <w:autoSpaceDN w:val="0"/>
              <w:jc w:val="center"/>
              <w:rPr>
                <w:b w:val="0"/>
              </w:rPr>
            </w:pPr>
            <w:r w:rsidRPr="00D836A2">
              <w:rPr>
                <w:b w:val="0"/>
              </w:rPr>
              <w:t>Protein Dish</w:t>
            </w:r>
          </w:p>
        </w:tc>
        <w:tc>
          <w:tcPr>
            <w:tcW w:w="0" w:type="auto"/>
            <w:tcBorders>
              <w:top w:val="single" w:sz="4" w:space="0" w:color="auto"/>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Pork, Poultry</w:t>
            </w:r>
          </w:p>
        </w:tc>
        <w:tc>
          <w:tcPr>
            <w:tcW w:w="0" w:type="auto"/>
            <w:tcBorders>
              <w:top w:val="single" w:sz="4" w:space="0" w:color="auto"/>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305</w:t>
            </w:r>
          </w:p>
        </w:tc>
      </w:tr>
      <w:tr w:rsidR="005B5243" w:rsidRPr="00D836A2" w:rsidTr="005D10D8">
        <w:trPr>
          <w:jc w:val="center"/>
        </w:trPr>
        <w:tc>
          <w:tcPr>
            <w:tcW w:w="0" w:type="auto"/>
            <w:vMerge/>
            <w:shd w:val="clear" w:color="auto" w:fill="auto"/>
          </w:tcPr>
          <w:p w:rsidR="005B5243" w:rsidRPr="00D836A2" w:rsidRDefault="005B5243" w:rsidP="005D10D8">
            <w:pPr>
              <w:pStyle w:val="MDPI42tablebody"/>
              <w:autoSpaceDE w:val="0"/>
              <w:autoSpaceDN w:val="0"/>
              <w:jc w:val="center"/>
              <w:rPr>
                <w:b w:val="0"/>
              </w:rPr>
            </w:pP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Beef, Veal, Lamb</w:t>
            </w: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243</w:t>
            </w:r>
          </w:p>
        </w:tc>
      </w:tr>
      <w:tr w:rsidR="005B5243" w:rsidRPr="00D836A2" w:rsidTr="005D10D8">
        <w:trPr>
          <w:jc w:val="center"/>
        </w:trPr>
        <w:tc>
          <w:tcPr>
            <w:tcW w:w="0" w:type="auto"/>
            <w:vMerge/>
            <w:shd w:val="clear" w:color="auto" w:fill="auto"/>
          </w:tcPr>
          <w:p w:rsidR="005B5243" w:rsidRPr="00D836A2" w:rsidRDefault="005B5243" w:rsidP="005D10D8">
            <w:pPr>
              <w:pStyle w:val="MDPI42tablebody"/>
              <w:autoSpaceDE w:val="0"/>
              <w:autoSpaceDN w:val="0"/>
              <w:jc w:val="center"/>
              <w:rPr>
                <w:b w:val="0"/>
              </w:rPr>
            </w:pP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Fish</w:t>
            </w: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211</w:t>
            </w:r>
          </w:p>
        </w:tc>
      </w:tr>
      <w:tr w:rsidR="005B5243" w:rsidRPr="00D836A2" w:rsidTr="005D10D8">
        <w:trPr>
          <w:jc w:val="center"/>
        </w:trPr>
        <w:tc>
          <w:tcPr>
            <w:tcW w:w="0" w:type="auto"/>
            <w:vMerge/>
            <w:shd w:val="clear" w:color="auto" w:fill="auto"/>
          </w:tcPr>
          <w:p w:rsidR="005B5243" w:rsidRPr="00D836A2" w:rsidRDefault="005B5243" w:rsidP="005D10D8">
            <w:pPr>
              <w:pStyle w:val="MDPI42tablebody"/>
              <w:autoSpaceDE w:val="0"/>
              <w:autoSpaceDN w:val="0"/>
              <w:jc w:val="center"/>
              <w:rPr>
                <w:b w:val="0"/>
              </w:rPr>
            </w:pP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Eggs</w:t>
            </w: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34</w:t>
            </w:r>
          </w:p>
        </w:tc>
      </w:tr>
      <w:tr w:rsidR="005B5243" w:rsidRPr="00D836A2" w:rsidTr="005D10D8">
        <w:trPr>
          <w:jc w:val="center"/>
        </w:trPr>
        <w:tc>
          <w:tcPr>
            <w:tcW w:w="0" w:type="auto"/>
            <w:vMerge/>
            <w:shd w:val="clear" w:color="auto" w:fill="auto"/>
          </w:tcPr>
          <w:p w:rsidR="005B5243" w:rsidRPr="00D836A2" w:rsidRDefault="005B5243" w:rsidP="005D10D8">
            <w:pPr>
              <w:pStyle w:val="MDPI42tablebody"/>
              <w:autoSpaceDE w:val="0"/>
              <w:autoSpaceDN w:val="0"/>
              <w:jc w:val="center"/>
              <w:rPr>
                <w:b w:val="0"/>
              </w:rPr>
            </w:pP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Starches</w:t>
            </w: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6</w:t>
            </w:r>
          </w:p>
        </w:tc>
      </w:tr>
      <w:tr w:rsidR="005B5243" w:rsidRPr="00D836A2" w:rsidTr="005D10D8">
        <w:trPr>
          <w:jc w:val="center"/>
        </w:trPr>
        <w:tc>
          <w:tcPr>
            <w:tcW w:w="0" w:type="auto"/>
            <w:vMerge/>
            <w:tcBorders>
              <w:bottom w:val="single" w:sz="4" w:space="0" w:color="auto"/>
            </w:tcBorders>
            <w:shd w:val="clear" w:color="auto" w:fill="auto"/>
          </w:tcPr>
          <w:p w:rsidR="005B5243" w:rsidRPr="00D836A2" w:rsidRDefault="005B5243" w:rsidP="005D10D8">
            <w:pPr>
              <w:pStyle w:val="MDPI42tablebody"/>
              <w:autoSpaceDE w:val="0"/>
              <w:autoSpaceDN w:val="0"/>
              <w:jc w:val="center"/>
              <w:rPr>
                <w:b w:val="0"/>
              </w:rPr>
            </w:pPr>
          </w:p>
        </w:tc>
        <w:tc>
          <w:tcPr>
            <w:tcW w:w="0" w:type="auto"/>
            <w:tcBorders>
              <w:top w:val="nil"/>
              <w:bottom w:val="single" w:sz="4" w:space="0" w:color="auto"/>
            </w:tcBorders>
            <w:shd w:val="clear" w:color="auto" w:fill="auto"/>
          </w:tcPr>
          <w:p w:rsidR="005B5243" w:rsidRPr="00D836A2" w:rsidRDefault="005B5243" w:rsidP="005D10D8">
            <w:pPr>
              <w:pStyle w:val="MDPI42tablebody"/>
              <w:autoSpaceDE w:val="0"/>
              <w:autoSpaceDN w:val="0"/>
              <w:jc w:val="center"/>
              <w:rPr>
                <w:b w:val="0"/>
              </w:rPr>
            </w:pPr>
            <w:r w:rsidRPr="00D836A2">
              <w:rPr>
                <w:b w:val="0"/>
              </w:rPr>
              <w:t>Vegetables</w:t>
            </w:r>
          </w:p>
        </w:tc>
        <w:tc>
          <w:tcPr>
            <w:tcW w:w="0" w:type="auto"/>
            <w:tcBorders>
              <w:top w:val="nil"/>
              <w:bottom w:val="single" w:sz="4" w:space="0" w:color="auto"/>
            </w:tcBorders>
            <w:shd w:val="clear" w:color="auto" w:fill="auto"/>
          </w:tcPr>
          <w:p w:rsidR="005B5243" w:rsidRPr="00D836A2" w:rsidRDefault="005B5243" w:rsidP="005D10D8">
            <w:pPr>
              <w:pStyle w:val="MDPI42tablebody"/>
              <w:autoSpaceDE w:val="0"/>
              <w:autoSpaceDN w:val="0"/>
              <w:jc w:val="center"/>
              <w:rPr>
                <w:b w:val="0"/>
              </w:rPr>
            </w:pPr>
            <w:r w:rsidRPr="00D836A2">
              <w:rPr>
                <w:b w:val="0"/>
              </w:rPr>
              <w:t>1</w:t>
            </w:r>
          </w:p>
        </w:tc>
      </w:tr>
      <w:tr w:rsidR="005B5243" w:rsidRPr="00D836A2" w:rsidTr="005D10D8">
        <w:trPr>
          <w:jc w:val="center"/>
        </w:trPr>
        <w:tc>
          <w:tcPr>
            <w:tcW w:w="0" w:type="auto"/>
            <w:vMerge w:val="restart"/>
            <w:tcBorders>
              <w:top w:val="single" w:sz="4" w:space="0" w:color="auto"/>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Side</w:t>
            </w:r>
            <w:r w:rsidR="000E3BDE">
              <w:rPr>
                <w:b w:val="0"/>
              </w:rPr>
              <w:t xml:space="preserve"> Dish</w:t>
            </w:r>
          </w:p>
        </w:tc>
        <w:tc>
          <w:tcPr>
            <w:tcW w:w="0" w:type="auto"/>
            <w:tcBorders>
              <w:top w:val="single" w:sz="4" w:space="0" w:color="auto"/>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Starches</w:t>
            </w:r>
          </w:p>
        </w:tc>
        <w:tc>
          <w:tcPr>
            <w:tcW w:w="0" w:type="auto"/>
            <w:tcBorders>
              <w:top w:val="single" w:sz="4" w:space="0" w:color="auto"/>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441</w:t>
            </w:r>
          </w:p>
        </w:tc>
      </w:tr>
      <w:tr w:rsidR="005B5243" w:rsidRPr="00D836A2" w:rsidTr="005D10D8">
        <w:trPr>
          <w:jc w:val="center"/>
        </w:trPr>
        <w:tc>
          <w:tcPr>
            <w:tcW w:w="0" w:type="auto"/>
            <w:vMerge/>
            <w:tcBorders>
              <w:top w:val="nil"/>
              <w:bottom w:val="single" w:sz="4" w:space="0" w:color="auto"/>
            </w:tcBorders>
            <w:shd w:val="clear" w:color="auto" w:fill="auto"/>
          </w:tcPr>
          <w:p w:rsidR="005B5243" w:rsidRPr="00D836A2" w:rsidRDefault="005B5243" w:rsidP="005D10D8">
            <w:pPr>
              <w:pStyle w:val="MDPI42tablebody"/>
              <w:autoSpaceDE w:val="0"/>
              <w:autoSpaceDN w:val="0"/>
              <w:jc w:val="center"/>
              <w:rPr>
                <w:b w:val="0"/>
              </w:rPr>
            </w:pPr>
          </w:p>
        </w:tc>
        <w:tc>
          <w:tcPr>
            <w:tcW w:w="0" w:type="auto"/>
            <w:tcBorders>
              <w:top w:val="nil"/>
              <w:bottom w:val="single" w:sz="4" w:space="0" w:color="auto"/>
            </w:tcBorders>
            <w:shd w:val="clear" w:color="auto" w:fill="auto"/>
          </w:tcPr>
          <w:p w:rsidR="005B5243" w:rsidRPr="00D836A2" w:rsidRDefault="005B5243" w:rsidP="005D10D8">
            <w:pPr>
              <w:pStyle w:val="MDPI42tablebody"/>
              <w:autoSpaceDE w:val="0"/>
              <w:autoSpaceDN w:val="0"/>
              <w:jc w:val="center"/>
              <w:rPr>
                <w:b w:val="0"/>
              </w:rPr>
            </w:pPr>
            <w:r w:rsidRPr="00D836A2">
              <w:rPr>
                <w:b w:val="0"/>
              </w:rPr>
              <w:t>Vegetables</w:t>
            </w:r>
          </w:p>
        </w:tc>
        <w:tc>
          <w:tcPr>
            <w:tcW w:w="0" w:type="auto"/>
            <w:tcBorders>
              <w:top w:val="nil"/>
              <w:bottom w:val="single" w:sz="4" w:space="0" w:color="auto"/>
            </w:tcBorders>
            <w:shd w:val="clear" w:color="auto" w:fill="auto"/>
          </w:tcPr>
          <w:p w:rsidR="005B5243" w:rsidRPr="00D836A2" w:rsidRDefault="005B5243" w:rsidP="005D10D8">
            <w:pPr>
              <w:pStyle w:val="MDPI42tablebody"/>
              <w:autoSpaceDE w:val="0"/>
              <w:autoSpaceDN w:val="0"/>
              <w:jc w:val="center"/>
              <w:rPr>
                <w:b w:val="0"/>
              </w:rPr>
            </w:pPr>
            <w:r w:rsidRPr="00D836A2">
              <w:rPr>
                <w:b w:val="0"/>
              </w:rPr>
              <w:t>357</w:t>
            </w:r>
          </w:p>
        </w:tc>
      </w:tr>
      <w:tr w:rsidR="005B5243" w:rsidRPr="00D836A2" w:rsidTr="005D10D8">
        <w:trPr>
          <w:jc w:val="center"/>
        </w:trPr>
        <w:tc>
          <w:tcPr>
            <w:tcW w:w="0" w:type="auto"/>
            <w:vMerge w:val="restart"/>
            <w:tcBorders>
              <w:top w:val="single" w:sz="4" w:space="0" w:color="auto"/>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Dairy Product</w:t>
            </w:r>
          </w:p>
        </w:tc>
        <w:tc>
          <w:tcPr>
            <w:tcW w:w="0" w:type="auto"/>
            <w:tcBorders>
              <w:top w:val="single" w:sz="4" w:space="0" w:color="auto"/>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Cheese</w:t>
            </w:r>
          </w:p>
        </w:tc>
        <w:tc>
          <w:tcPr>
            <w:tcW w:w="0" w:type="auto"/>
            <w:tcBorders>
              <w:top w:val="single" w:sz="4" w:space="0" w:color="auto"/>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556</w:t>
            </w:r>
          </w:p>
        </w:tc>
      </w:tr>
      <w:tr w:rsidR="005B5243" w:rsidRPr="00D836A2" w:rsidTr="005D10D8">
        <w:trPr>
          <w:jc w:val="center"/>
        </w:trPr>
        <w:tc>
          <w:tcPr>
            <w:tcW w:w="0" w:type="auto"/>
            <w:vMerge/>
            <w:tcBorders>
              <w:top w:val="nil"/>
              <w:bottom w:val="nil"/>
            </w:tcBorders>
            <w:shd w:val="clear" w:color="auto" w:fill="auto"/>
          </w:tcPr>
          <w:p w:rsidR="005B5243" w:rsidRPr="00D836A2" w:rsidRDefault="005B5243" w:rsidP="005D10D8">
            <w:pPr>
              <w:pStyle w:val="MDPI42tablebody"/>
              <w:autoSpaceDE w:val="0"/>
              <w:autoSpaceDN w:val="0"/>
              <w:jc w:val="center"/>
              <w:rPr>
                <w:b w:val="0"/>
              </w:rPr>
            </w:pP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Dairy Products</w:t>
            </w: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220</w:t>
            </w:r>
          </w:p>
        </w:tc>
      </w:tr>
      <w:tr w:rsidR="005B5243" w:rsidRPr="00D836A2" w:rsidTr="005D10D8">
        <w:trPr>
          <w:jc w:val="center"/>
        </w:trPr>
        <w:tc>
          <w:tcPr>
            <w:tcW w:w="0" w:type="auto"/>
            <w:vMerge/>
            <w:tcBorders>
              <w:top w:val="nil"/>
              <w:bottom w:val="nil"/>
            </w:tcBorders>
            <w:shd w:val="clear" w:color="auto" w:fill="auto"/>
          </w:tcPr>
          <w:p w:rsidR="005B5243" w:rsidRPr="00D836A2" w:rsidRDefault="005B5243" w:rsidP="005D10D8">
            <w:pPr>
              <w:pStyle w:val="MDPI42tablebody"/>
              <w:autoSpaceDE w:val="0"/>
              <w:autoSpaceDN w:val="0"/>
              <w:jc w:val="center"/>
              <w:rPr>
                <w:b w:val="0"/>
              </w:rPr>
            </w:pP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Dairy Desserts</w:t>
            </w: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5</w:t>
            </w:r>
          </w:p>
        </w:tc>
      </w:tr>
      <w:tr w:rsidR="005B5243" w:rsidRPr="00D836A2" w:rsidTr="005D10D8">
        <w:trPr>
          <w:jc w:val="center"/>
        </w:trPr>
        <w:tc>
          <w:tcPr>
            <w:tcW w:w="0" w:type="auto"/>
            <w:vMerge/>
            <w:tcBorders>
              <w:top w:val="nil"/>
              <w:bottom w:val="single" w:sz="4" w:space="0" w:color="auto"/>
            </w:tcBorders>
            <w:shd w:val="clear" w:color="auto" w:fill="auto"/>
          </w:tcPr>
          <w:p w:rsidR="005B5243" w:rsidRPr="00D836A2" w:rsidRDefault="005B5243" w:rsidP="005D10D8">
            <w:pPr>
              <w:pStyle w:val="MDPI42tablebody"/>
              <w:autoSpaceDE w:val="0"/>
              <w:autoSpaceDN w:val="0"/>
              <w:jc w:val="center"/>
              <w:rPr>
                <w:b w:val="0"/>
              </w:rPr>
            </w:pPr>
          </w:p>
        </w:tc>
        <w:tc>
          <w:tcPr>
            <w:tcW w:w="0" w:type="auto"/>
            <w:tcBorders>
              <w:top w:val="nil"/>
              <w:bottom w:val="single" w:sz="4" w:space="0" w:color="auto"/>
            </w:tcBorders>
            <w:shd w:val="clear" w:color="auto" w:fill="auto"/>
          </w:tcPr>
          <w:p w:rsidR="005B5243" w:rsidRPr="00D836A2" w:rsidRDefault="005B5243" w:rsidP="005D10D8">
            <w:pPr>
              <w:pStyle w:val="MDPI42tablebody"/>
              <w:autoSpaceDE w:val="0"/>
              <w:autoSpaceDN w:val="0"/>
              <w:jc w:val="center"/>
              <w:rPr>
                <w:b w:val="0"/>
              </w:rPr>
            </w:pPr>
            <w:r w:rsidRPr="00D836A2">
              <w:rPr>
                <w:b w:val="0"/>
              </w:rPr>
              <w:t>Sweetened Foods</w:t>
            </w:r>
          </w:p>
        </w:tc>
        <w:tc>
          <w:tcPr>
            <w:tcW w:w="0" w:type="auto"/>
            <w:tcBorders>
              <w:top w:val="nil"/>
              <w:bottom w:val="single" w:sz="4" w:space="0" w:color="auto"/>
            </w:tcBorders>
            <w:shd w:val="clear" w:color="auto" w:fill="auto"/>
          </w:tcPr>
          <w:p w:rsidR="005B5243" w:rsidRPr="00D836A2" w:rsidRDefault="005B5243" w:rsidP="005D10D8">
            <w:pPr>
              <w:pStyle w:val="MDPI42tablebody"/>
              <w:autoSpaceDE w:val="0"/>
              <w:autoSpaceDN w:val="0"/>
              <w:jc w:val="center"/>
              <w:rPr>
                <w:b w:val="0"/>
              </w:rPr>
            </w:pPr>
            <w:r w:rsidRPr="00D836A2">
              <w:rPr>
                <w:b w:val="0"/>
              </w:rPr>
              <w:t>1</w:t>
            </w:r>
          </w:p>
        </w:tc>
      </w:tr>
      <w:tr w:rsidR="005B5243" w:rsidRPr="00D836A2" w:rsidTr="005D10D8">
        <w:trPr>
          <w:jc w:val="center"/>
        </w:trPr>
        <w:tc>
          <w:tcPr>
            <w:tcW w:w="0" w:type="auto"/>
            <w:vMerge w:val="restart"/>
            <w:tcBorders>
              <w:top w:val="single" w:sz="4" w:space="0" w:color="auto"/>
              <w:bottom w:val="nil"/>
            </w:tcBorders>
            <w:shd w:val="clear" w:color="auto" w:fill="auto"/>
          </w:tcPr>
          <w:p w:rsidR="005B5243" w:rsidRPr="004C2008" w:rsidRDefault="00376C3B" w:rsidP="005D10D8">
            <w:pPr>
              <w:pStyle w:val="MDPI42tablebody"/>
              <w:autoSpaceDE w:val="0"/>
              <w:autoSpaceDN w:val="0"/>
              <w:jc w:val="center"/>
            </w:pPr>
            <w:r w:rsidRPr="004C2008">
              <w:t>Dessert</w:t>
            </w:r>
          </w:p>
        </w:tc>
        <w:tc>
          <w:tcPr>
            <w:tcW w:w="0" w:type="auto"/>
            <w:tcBorders>
              <w:top w:val="single" w:sz="4" w:space="0" w:color="auto"/>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Fruits</w:t>
            </w:r>
          </w:p>
        </w:tc>
        <w:tc>
          <w:tcPr>
            <w:tcW w:w="0" w:type="auto"/>
            <w:tcBorders>
              <w:top w:val="single" w:sz="4" w:space="0" w:color="auto"/>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478</w:t>
            </w:r>
          </w:p>
        </w:tc>
      </w:tr>
      <w:tr w:rsidR="005B5243" w:rsidRPr="00D836A2" w:rsidTr="005D10D8">
        <w:trPr>
          <w:jc w:val="center"/>
        </w:trPr>
        <w:tc>
          <w:tcPr>
            <w:tcW w:w="0" w:type="auto"/>
            <w:vMerge/>
            <w:tcBorders>
              <w:top w:val="nil"/>
              <w:bottom w:val="nil"/>
            </w:tcBorders>
            <w:shd w:val="clear" w:color="auto" w:fill="auto"/>
          </w:tcPr>
          <w:p w:rsidR="005B5243" w:rsidRPr="00D836A2" w:rsidRDefault="005B5243" w:rsidP="005D10D8">
            <w:pPr>
              <w:pStyle w:val="MDPI42tablebody"/>
              <w:autoSpaceDE w:val="0"/>
              <w:autoSpaceDN w:val="0"/>
              <w:jc w:val="center"/>
              <w:rPr>
                <w:b w:val="0"/>
              </w:rPr>
            </w:pP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Sweetened Foods</w:t>
            </w: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164</w:t>
            </w:r>
          </w:p>
        </w:tc>
      </w:tr>
      <w:tr w:rsidR="005B5243" w:rsidRPr="00D836A2" w:rsidTr="005D10D8">
        <w:trPr>
          <w:jc w:val="center"/>
        </w:trPr>
        <w:tc>
          <w:tcPr>
            <w:tcW w:w="0" w:type="auto"/>
            <w:vMerge/>
            <w:tcBorders>
              <w:top w:val="nil"/>
              <w:bottom w:val="nil"/>
            </w:tcBorders>
            <w:shd w:val="clear" w:color="auto" w:fill="auto"/>
          </w:tcPr>
          <w:p w:rsidR="005B5243" w:rsidRPr="00D836A2" w:rsidRDefault="005B5243" w:rsidP="005D10D8">
            <w:pPr>
              <w:pStyle w:val="MDPI42tablebody"/>
              <w:autoSpaceDE w:val="0"/>
              <w:autoSpaceDN w:val="0"/>
              <w:jc w:val="center"/>
              <w:rPr>
                <w:b w:val="0"/>
              </w:rPr>
            </w:pP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Dairy Desserts</w:t>
            </w: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111</w:t>
            </w:r>
          </w:p>
        </w:tc>
      </w:tr>
      <w:tr w:rsidR="005B5243" w:rsidRPr="00D836A2" w:rsidTr="005D10D8">
        <w:trPr>
          <w:jc w:val="center"/>
        </w:trPr>
        <w:tc>
          <w:tcPr>
            <w:tcW w:w="0" w:type="auto"/>
            <w:vMerge/>
            <w:tcBorders>
              <w:top w:val="nil"/>
              <w:bottom w:val="nil"/>
            </w:tcBorders>
            <w:shd w:val="clear" w:color="auto" w:fill="auto"/>
          </w:tcPr>
          <w:p w:rsidR="005B5243" w:rsidRPr="00D836A2" w:rsidRDefault="005B5243" w:rsidP="005D10D8">
            <w:pPr>
              <w:pStyle w:val="MDPI42tablebody"/>
              <w:autoSpaceDE w:val="0"/>
              <w:autoSpaceDN w:val="0"/>
              <w:jc w:val="center"/>
              <w:rPr>
                <w:b w:val="0"/>
              </w:rPr>
            </w:pP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Dairy Products</w:t>
            </w:r>
          </w:p>
        </w:tc>
        <w:tc>
          <w:tcPr>
            <w:tcW w:w="0" w:type="auto"/>
            <w:tcBorders>
              <w:top w:val="nil"/>
              <w:bottom w:val="nil"/>
            </w:tcBorders>
            <w:shd w:val="clear" w:color="auto" w:fill="auto"/>
          </w:tcPr>
          <w:p w:rsidR="005B5243" w:rsidRPr="00D836A2" w:rsidRDefault="005B5243" w:rsidP="005D10D8">
            <w:pPr>
              <w:pStyle w:val="MDPI42tablebody"/>
              <w:autoSpaceDE w:val="0"/>
              <w:autoSpaceDN w:val="0"/>
              <w:jc w:val="center"/>
              <w:rPr>
                <w:b w:val="0"/>
              </w:rPr>
            </w:pPr>
            <w:r w:rsidRPr="00D836A2">
              <w:rPr>
                <w:b w:val="0"/>
              </w:rPr>
              <w:t>17</w:t>
            </w:r>
          </w:p>
        </w:tc>
      </w:tr>
      <w:tr w:rsidR="005B5243" w:rsidRPr="00D836A2" w:rsidTr="005D10D8">
        <w:trPr>
          <w:jc w:val="center"/>
        </w:trPr>
        <w:tc>
          <w:tcPr>
            <w:tcW w:w="0" w:type="auto"/>
            <w:vMerge/>
            <w:tcBorders>
              <w:top w:val="nil"/>
              <w:bottom w:val="single" w:sz="12" w:space="0" w:color="auto"/>
            </w:tcBorders>
            <w:shd w:val="clear" w:color="auto" w:fill="auto"/>
          </w:tcPr>
          <w:p w:rsidR="005B5243" w:rsidRPr="00D836A2" w:rsidRDefault="005B5243" w:rsidP="005D10D8">
            <w:pPr>
              <w:pStyle w:val="MDPI42tablebody"/>
              <w:autoSpaceDE w:val="0"/>
              <w:autoSpaceDN w:val="0"/>
              <w:jc w:val="center"/>
              <w:rPr>
                <w:b w:val="0"/>
              </w:rPr>
            </w:pPr>
          </w:p>
        </w:tc>
        <w:tc>
          <w:tcPr>
            <w:tcW w:w="0" w:type="auto"/>
            <w:tcBorders>
              <w:top w:val="nil"/>
              <w:bottom w:val="single" w:sz="12" w:space="0" w:color="auto"/>
            </w:tcBorders>
            <w:shd w:val="clear" w:color="auto" w:fill="auto"/>
          </w:tcPr>
          <w:p w:rsidR="005B5243" w:rsidRPr="00D836A2" w:rsidRDefault="005B5243" w:rsidP="005D10D8">
            <w:pPr>
              <w:pStyle w:val="MDPI42tablebody"/>
              <w:autoSpaceDE w:val="0"/>
              <w:autoSpaceDN w:val="0"/>
              <w:jc w:val="center"/>
              <w:rPr>
                <w:b w:val="0"/>
              </w:rPr>
            </w:pPr>
            <w:r w:rsidRPr="00D836A2">
              <w:rPr>
                <w:b w:val="0"/>
              </w:rPr>
              <w:t>Starches</w:t>
            </w:r>
          </w:p>
        </w:tc>
        <w:tc>
          <w:tcPr>
            <w:tcW w:w="0" w:type="auto"/>
            <w:tcBorders>
              <w:top w:val="nil"/>
              <w:bottom w:val="single" w:sz="12" w:space="0" w:color="auto"/>
            </w:tcBorders>
            <w:shd w:val="clear" w:color="auto" w:fill="auto"/>
          </w:tcPr>
          <w:p w:rsidR="005B5243" w:rsidRPr="00D836A2" w:rsidRDefault="005B5243" w:rsidP="005D10D8">
            <w:pPr>
              <w:pStyle w:val="MDPI42tablebody"/>
              <w:autoSpaceDE w:val="0"/>
              <w:autoSpaceDN w:val="0"/>
              <w:jc w:val="center"/>
              <w:rPr>
                <w:b w:val="0"/>
              </w:rPr>
            </w:pPr>
            <w:r w:rsidRPr="00D836A2">
              <w:rPr>
                <w:b w:val="0"/>
              </w:rPr>
              <w:t>16</w:t>
            </w:r>
          </w:p>
        </w:tc>
      </w:tr>
    </w:tbl>
    <w:p w:rsidR="005355A8" w:rsidRDefault="005355A8" w:rsidP="005B5243">
      <w:pPr>
        <w:pStyle w:val="MDPI21heading1"/>
      </w:pPr>
    </w:p>
    <w:p w:rsidR="009159BD" w:rsidRDefault="009159BD" w:rsidP="005B5243">
      <w:pPr>
        <w:pStyle w:val="MDPI21heading1"/>
      </w:pPr>
      <w:r w:rsidRPr="00D836A2">
        <w:t xml:space="preserve">Appendix </w:t>
      </w:r>
      <w:r>
        <w:t>C</w:t>
      </w:r>
      <w:r w:rsidRPr="00D836A2">
        <w:t xml:space="preserve"> </w:t>
      </w:r>
    </w:p>
    <w:p w:rsidR="005355A8" w:rsidRDefault="005355A8" w:rsidP="005355A8">
      <w:pPr>
        <w:pStyle w:val="MDPI41tablecaption"/>
        <w:jc w:val="center"/>
      </w:pPr>
      <w:r w:rsidRPr="00D836A2">
        <w:rPr>
          <w:b/>
        </w:rPr>
        <w:t>Table A</w:t>
      </w:r>
      <w:r>
        <w:rPr>
          <w:b/>
        </w:rPr>
        <w:t>2</w:t>
      </w:r>
      <w:r w:rsidRPr="00D836A2">
        <w:rPr>
          <w:b/>
        </w:rPr>
        <w:t>.</w:t>
      </w:r>
      <w:r w:rsidRPr="00D836A2">
        <w:t xml:space="preserve"> </w:t>
      </w:r>
      <w:r>
        <w:t>Example of calculation of MAR and MAR/2000kcal for one series containing 14871 kcal</w:t>
      </w:r>
    </w:p>
    <w:tbl>
      <w:tblPr>
        <w:tblW w:w="10137" w:type="dxa"/>
        <w:tblCellMar>
          <w:left w:w="70" w:type="dxa"/>
          <w:right w:w="70" w:type="dxa"/>
        </w:tblCellMar>
        <w:tblLook w:val="04A0" w:firstRow="1" w:lastRow="0" w:firstColumn="1" w:lastColumn="0" w:noHBand="0" w:noVBand="1"/>
      </w:tblPr>
      <w:tblGrid>
        <w:gridCol w:w="1999"/>
        <w:gridCol w:w="1174"/>
        <w:gridCol w:w="1033"/>
        <w:gridCol w:w="851"/>
        <w:gridCol w:w="992"/>
        <w:gridCol w:w="1038"/>
        <w:gridCol w:w="1105"/>
        <w:gridCol w:w="755"/>
        <w:gridCol w:w="1190"/>
      </w:tblGrid>
      <w:tr w:rsidR="005355A8" w:rsidRPr="00B00E6B" w:rsidTr="00732DD0">
        <w:trPr>
          <w:trHeight w:val="270"/>
        </w:trPr>
        <w:tc>
          <w:tcPr>
            <w:tcW w:w="1999" w:type="dxa"/>
            <w:tcBorders>
              <w:top w:val="single" w:sz="4" w:space="0" w:color="auto"/>
              <w:left w:val="nil"/>
              <w:bottom w:val="single" w:sz="4" w:space="0" w:color="auto"/>
              <w:right w:val="nil"/>
            </w:tcBorders>
            <w:shd w:val="clear" w:color="auto" w:fill="auto"/>
            <w:noWrap/>
            <w:vAlign w:val="bottom"/>
          </w:tcPr>
          <w:p w:rsidR="005355A8" w:rsidRPr="00B00E6B" w:rsidRDefault="005355A8" w:rsidP="00B00E6B">
            <w:pPr>
              <w:pStyle w:val="MDPI42tablebody"/>
              <w:spacing w:after="160" w:line="259" w:lineRule="auto"/>
              <w:rPr>
                <w:b w:val="0"/>
              </w:rPr>
            </w:pPr>
          </w:p>
        </w:tc>
        <w:tc>
          <w:tcPr>
            <w:tcW w:w="1174" w:type="dxa"/>
            <w:tcBorders>
              <w:top w:val="single" w:sz="4" w:space="0" w:color="auto"/>
              <w:left w:val="nil"/>
              <w:bottom w:val="single" w:sz="4" w:space="0" w:color="auto"/>
              <w:right w:val="nil"/>
            </w:tcBorders>
            <w:shd w:val="clear" w:color="auto" w:fill="auto"/>
            <w:noWrap/>
            <w:vAlign w:val="bottom"/>
          </w:tcPr>
          <w:p w:rsidR="00670D83" w:rsidRDefault="00670D83">
            <w:pPr>
              <w:pStyle w:val="MDPI42tablebody"/>
              <w:rPr>
                <w:b w:val="0"/>
              </w:rPr>
            </w:pPr>
          </w:p>
        </w:tc>
        <w:tc>
          <w:tcPr>
            <w:tcW w:w="2876" w:type="dxa"/>
            <w:gridSpan w:val="3"/>
            <w:tcBorders>
              <w:top w:val="single" w:sz="4" w:space="0" w:color="auto"/>
              <w:left w:val="nil"/>
              <w:bottom w:val="single" w:sz="4" w:space="0" w:color="auto"/>
              <w:right w:val="single" w:sz="4" w:space="0" w:color="auto"/>
            </w:tcBorders>
            <w:shd w:val="clear" w:color="auto" w:fill="auto"/>
            <w:noWrap/>
            <w:vAlign w:val="bottom"/>
          </w:tcPr>
          <w:p w:rsidR="00670D83" w:rsidRDefault="00FF17D2">
            <w:pPr>
              <w:pStyle w:val="MDPI42tablebody"/>
              <w:rPr>
                <w:b w:val="0"/>
              </w:rPr>
            </w:pPr>
            <w:r w:rsidRPr="00FF17D2">
              <w:rPr>
                <w:b w:val="0"/>
              </w:rPr>
              <w:t>MAR estimation</w:t>
            </w:r>
          </w:p>
        </w:tc>
        <w:tc>
          <w:tcPr>
            <w:tcW w:w="4088" w:type="dxa"/>
            <w:gridSpan w:val="4"/>
            <w:tcBorders>
              <w:top w:val="single" w:sz="4" w:space="0" w:color="auto"/>
              <w:left w:val="single" w:sz="4" w:space="0" w:color="auto"/>
              <w:bottom w:val="single" w:sz="4" w:space="0" w:color="auto"/>
              <w:right w:val="nil"/>
            </w:tcBorders>
            <w:shd w:val="clear" w:color="auto" w:fill="auto"/>
            <w:noWrap/>
            <w:vAlign w:val="bottom"/>
          </w:tcPr>
          <w:p w:rsidR="00670D83" w:rsidRDefault="00FF17D2">
            <w:pPr>
              <w:pStyle w:val="MDPI42tablebody"/>
              <w:rPr>
                <w:b w:val="0"/>
              </w:rPr>
            </w:pPr>
            <w:r w:rsidRPr="00FF17D2">
              <w:rPr>
                <w:b w:val="0"/>
              </w:rPr>
              <w:t>MAR/2000kcal estimation</w:t>
            </w:r>
          </w:p>
        </w:tc>
      </w:tr>
      <w:tr w:rsidR="005355A8" w:rsidRPr="00B00E6B" w:rsidTr="00732DD0">
        <w:trPr>
          <w:trHeight w:val="270"/>
        </w:trPr>
        <w:tc>
          <w:tcPr>
            <w:tcW w:w="1999" w:type="dxa"/>
            <w:tcBorders>
              <w:top w:val="single" w:sz="4" w:space="0" w:color="auto"/>
              <w:left w:val="nil"/>
              <w:bottom w:val="single" w:sz="4" w:space="0" w:color="auto"/>
              <w:right w:val="nil"/>
            </w:tcBorders>
            <w:shd w:val="clear" w:color="auto" w:fill="auto"/>
            <w:noWrap/>
            <w:vAlign w:val="bottom"/>
            <w:hideMark/>
          </w:tcPr>
          <w:p w:rsidR="00670D83" w:rsidRDefault="00670D83">
            <w:pPr>
              <w:pStyle w:val="MDPI42tablebody"/>
              <w:rPr>
                <w:b w:val="0"/>
              </w:rPr>
            </w:pPr>
          </w:p>
        </w:tc>
        <w:tc>
          <w:tcPr>
            <w:tcW w:w="1174" w:type="dxa"/>
            <w:tcBorders>
              <w:top w:val="single" w:sz="4" w:space="0" w:color="auto"/>
              <w:left w:val="nil"/>
              <w:bottom w:val="single" w:sz="4" w:space="0" w:color="auto"/>
              <w:right w:val="nil"/>
            </w:tcBorders>
            <w:shd w:val="clear" w:color="auto" w:fill="auto"/>
            <w:noWrap/>
            <w:vAlign w:val="bottom"/>
            <w:hideMark/>
          </w:tcPr>
          <w:p w:rsidR="00670D83" w:rsidRDefault="00FF17D2">
            <w:pPr>
              <w:pStyle w:val="MDPI42tablebody"/>
              <w:rPr>
                <w:b w:val="0"/>
              </w:rPr>
            </w:pPr>
            <w:r w:rsidRPr="00FF17D2">
              <w:rPr>
                <w:b w:val="0"/>
              </w:rPr>
              <w:t>Nutritional content of the series</w:t>
            </w:r>
          </w:p>
        </w:tc>
        <w:tc>
          <w:tcPr>
            <w:tcW w:w="1033" w:type="dxa"/>
            <w:tcBorders>
              <w:top w:val="single" w:sz="4" w:space="0" w:color="auto"/>
              <w:left w:val="nil"/>
              <w:bottom w:val="single" w:sz="4" w:space="0" w:color="auto"/>
              <w:right w:val="nil"/>
            </w:tcBorders>
            <w:shd w:val="clear" w:color="auto" w:fill="auto"/>
            <w:noWrap/>
            <w:vAlign w:val="bottom"/>
            <w:hideMark/>
          </w:tcPr>
          <w:p w:rsidR="00670D83" w:rsidRDefault="00FF17D2">
            <w:pPr>
              <w:pStyle w:val="MDPI42tablebody"/>
              <w:rPr>
                <w:b w:val="0"/>
              </w:rPr>
            </w:pPr>
            <w:r w:rsidRPr="00FF17D2">
              <w:rPr>
                <w:b w:val="0"/>
              </w:rPr>
              <w:t>Recom</w:t>
            </w:r>
          </w:p>
          <w:p w:rsidR="00670D83" w:rsidRDefault="00FF17D2">
            <w:pPr>
              <w:pStyle w:val="MDPI42tablebody"/>
              <w:rPr>
                <w:b w:val="0"/>
              </w:rPr>
            </w:pPr>
            <w:r w:rsidRPr="00FF17D2">
              <w:rPr>
                <w:b w:val="0"/>
              </w:rPr>
              <w:t>mended</w:t>
            </w:r>
          </w:p>
          <w:p w:rsidR="00670D83" w:rsidRDefault="00FF17D2">
            <w:pPr>
              <w:pStyle w:val="MDPI42tablebody"/>
              <w:rPr>
                <w:b w:val="0"/>
              </w:rPr>
            </w:pPr>
            <w:r w:rsidRPr="00FF17D2">
              <w:rPr>
                <w:b w:val="0"/>
              </w:rPr>
              <w:t xml:space="preserve">20 days </w:t>
            </w:r>
          </w:p>
          <w:p w:rsidR="00670D83" w:rsidRDefault="00FF17D2">
            <w:pPr>
              <w:pStyle w:val="MDPI42tablebody"/>
              <w:rPr>
                <w:b w:val="0"/>
              </w:rPr>
            </w:pPr>
            <w:r w:rsidRPr="00FF17D2">
              <w:rPr>
                <w:b w:val="0"/>
              </w:rPr>
              <w:t>intake</w:t>
            </w:r>
          </w:p>
        </w:tc>
        <w:tc>
          <w:tcPr>
            <w:tcW w:w="851" w:type="dxa"/>
            <w:tcBorders>
              <w:top w:val="single" w:sz="4" w:space="0" w:color="auto"/>
              <w:left w:val="nil"/>
              <w:bottom w:val="single" w:sz="4" w:space="0" w:color="auto"/>
              <w:right w:val="nil"/>
            </w:tcBorders>
            <w:shd w:val="clear" w:color="auto" w:fill="auto"/>
            <w:noWrap/>
            <w:vAlign w:val="bottom"/>
            <w:hideMark/>
          </w:tcPr>
          <w:p w:rsidR="00670D83" w:rsidRDefault="00FF17D2">
            <w:pPr>
              <w:pStyle w:val="MDPI42tablebody"/>
              <w:rPr>
                <w:b w:val="0"/>
              </w:rPr>
            </w:pPr>
            <w:r w:rsidRPr="00FF17D2">
              <w:rPr>
                <w:b w:val="0"/>
              </w:rPr>
              <w:t xml:space="preserve">ratio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70D83" w:rsidRDefault="00FF17D2">
            <w:pPr>
              <w:pStyle w:val="MDPI42tablebody"/>
              <w:rPr>
                <w:b w:val="0"/>
              </w:rPr>
            </w:pPr>
            <w:r w:rsidRPr="00FF17D2">
              <w:rPr>
                <w:b w:val="0"/>
              </w:rPr>
              <w:t>ratio&gt;100 replaced with 100</w:t>
            </w:r>
          </w:p>
        </w:tc>
        <w:tc>
          <w:tcPr>
            <w:tcW w:w="1038" w:type="dxa"/>
            <w:tcBorders>
              <w:top w:val="single" w:sz="4" w:space="0" w:color="auto"/>
              <w:left w:val="single" w:sz="4" w:space="0" w:color="auto"/>
              <w:bottom w:val="single" w:sz="4" w:space="0" w:color="auto"/>
              <w:right w:val="nil"/>
            </w:tcBorders>
            <w:shd w:val="clear" w:color="auto" w:fill="auto"/>
            <w:noWrap/>
            <w:vAlign w:val="bottom"/>
            <w:hideMark/>
          </w:tcPr>
          <w:p w:rsidR="00670D83" w:rsidRDefault="00FF17D2">
            <w:pPr>
              <w:pStyle w:val="MDPI42tablebody"/>
              <w:rPr>
                <w:b w:val="0"/>
              </w:rPr>
            </w:pPr>
            <w:r w:rsidRPr="00FF17D2">
              <w:rPr>
                <w:b w:val="0"/>
              </w:rPr>
              <w:t xml:space="preserve">content </w:t>
            </w:r>
          </w:p>
          <w:p w:rsidR="00670D83" w:rsidRDefault="00FF17D2">
            <w:pPr>
              <w:pStyle w:val="MDPI42tablebody"/>
              <w:rPr>
                <w:b w:val="0"/>
              </w:rPr>
            </w:pPr>
            <w:r w:rsidRPr="00FF17D2">
              <w:rPr>
                <w:b w:val="0"/>
              </w:rPr>
              <w:t xml:space="preserve">for </w:t>
            </w:r>
          </w:p>
          <w:p w:rsidR="00670D83" w:rsidRDefault="00FF17D2">
            <w:pPr>
              <w:pStyle w:val="MDPI42tablebody"/>
              <w:rPr>
                <w:b w:val="0"/>
              </w:rPr>
            </w:pPr>
            <w:r w:rsidRPr="00FF17D2">
              <w:rPr>
                <w:b w:val="0"/>
              </w:rPr>
              <w:t>2000kcal</w:t>
            </w:r>
          </w:p>
        </w:tc>
        <w:tc>
          <w:tcPr>
            <w:tcW w:w="1105" w:type="dxa"/>
            <w:tcBorders>
              <w:top w:val="single" w:sz="4" w:space="0" w:color="auto"/>
              <w:left w:val="nil"/>
              <w:bottom w:val="single" w:sz="4" w:space="0" w:color="auto"/>
              <w:right w:val="nil"/>
            </w:tcBorders>
            <w:vAlign w:val="bottom"/>
          </w:tcPr>
          <w:p w:rsidR="00670D83" w:rsidRDefault="00FF17D2">
            <w:pPr>
              <w:pStyle w:val="MDPI42tablebody"/>
              <w:rPr>
                <w:b w:val="0"/>
              </w:rPr>
            </w:pPr>
            <w:r w:rsidRPr="00FF17D2">
              <w:rPr>
                <w:b w:val="0"/>
              </w:rPr>
              <w:t>Recom</w:t>
            </w:r>
          </w:p>
          <w:p w:rsidR="00670D83" w:rsidRDefault="00FF17D2">
            <w:pPr>
              <w:pStyle w:val="MDPI42tablebody"/>
              <w:rPr>
                <w:b w:val="0"/>
              </w:rPr>
            </w:pPr>
            <w:r w:rsidRPr="00FF17D2">
              <w:rPr>
                <w:b w:val="0"/>
              </w:rPr>
              <w:t xml:space="preserve">mended </w:t>
            </w:r>
          </w:p>
          <w:p w:rsidR="00670D83" w:rsidRDefault="00FF17D2">
            <w:pPr>
              <w:pStyle w:val="MDPI42tablebody"/>
              <w:rPr>
                <w:b w:val="0"/>
              </w:rPr>
            </w:pPr>
            <w:r w:rsidRPr="00FF17D2">
              <w:rPr>
                <w:b w:val="0"/>
              </w:rPr>
              <w:t xml:space="preserve">daily </w:t>
            </w:r>
          </w:p>
          <w:p w:rsidR="00670D83" w:rsidRDefault="00FF17D2">
            <w:pPr>
              <w:pStyle w:val="MDPI42tablebody"/>
              <w:rPr>
                <w:b w:val="0"/>
              </w:rPr>
            </w:pPr>
            <w:r w:rsidRPr="00FF17D2">
              <w:rPr>
                <w:b w:val="0"/>
              </w:rPr>
              <w:t>intake</w:t>
            </w:r>
          </w:p>
        </w:tc>
        <w:tc>
          <w:tcPr>
            <w:tcW w:w="755" w:type="dxa"/>
            <w:tcBorders>
              <w:top w:val="single" w:sz="4" w:space="0" w:color="auto"/>
              <w:left w:val="nil"/>
              <w:bottom w:val="single" w:sz="4" w:space="0" w:color="auto"/>
              <w:right w:val="nil"/>
            </w:tcBorders>
            <w:shd w:val="clear" w:color="auto" w:fill="auto"/>
            <w:noWrap/>
            <w:vAlign w:val="bottom"/>
            <w:hideMark/>
          </w:tcPr>
          <w:p w:rsidR="00670D83" w:rsidRDefault="00FF17D2">
            <w:pPr>
              <w:pStyle w:val="MDPI42tablebody"/>
              <w:rPr>
                <w:b w:val="0"/>
              </w:rPr>
            </w:pPr>
            <w:r w:rsidRPr="00FF17D2">
              <w:rPr>
                <w:b w:val="0"/>
              </w:rPr>
              <w:t xml:space="preserve">ratio </w:t>
            </w:r>
          </w:p>
        </w:tc>
        <w:tc>
          <w:tcPr>
            <w:tcW w:w="1190" w:type="dxa"/>
            <w:tcBorders>
              <w:top w:val="single" w:sz="4" w:space="0" w:color="auto"/>
              <w:left w:val="nil"/>
              <w:bottom w:val="single" w:sz="4" w:space="0" w:color="auto"/>
              <w:right w:val="nil"/>
            </w:tcBorders>
            <w:shd w:val="clear" w:color="auto" w:fill="auto"/>
            <w:noWrap/>
            <w:vAlign w:val="bottom"/>
            <w:hideMark/>
          </w:tcPr>
          <w:p w:rsidR="00670D83" w:rsidRDefault="00FF17D2">
            <w:pPr>
              <w:pStyle w:val="MDPI42tablebody"/>
              <w:rPr>
                <w:b w:val="0"/>
              </w:rPr>
            </w:pPr>
            <w:r w:rsidRPr="00FF17D2">
              <w:rPr>
                <w:b w:val="0"/>
              </w:rPr>
              <w:t xml:space="preserve">ratio&gt;100 </w:t>
            </w:r>
          </w:p>
          <w:p w:rsidR="00670D83" w:rsidRDefault="00FF17D2">
            <w:pPr>
              <w:pStyle w:val="MDPI42tablebody"/>
              <w:rPr>
                <w:b w:val="0"/>
              </w:rPr>
            </w:pPr>
            <w:r w:rsidRPr="00FF17D2">
              <w:rPr>
                <w:b w:val="0"/>
              </w:rPr>
              <w:t xml:space="preserve">replaced </w:t>
            </w:r>
          </w:p>
          <w:p w:rsidR="00670D83" w:rsidRDefault="00FF17D2">
            <w:pPr>
              <w:pStyle w:val="MDPI42tablebody"/>
              <w:rPr>
                <w:b w:val="0"/>
              </w:rPr>
            </w:pPr>
            <w:r w:rsidRPr="00FF17D2">
              <w:rPr>
                <w:b w:val="0"/>
              </w:rPr>
              <w:t>with 100</w:t>
            </w:r>
          </w:p>
        </w:tc>
      </w:tr>
      <w:tr w:rsidR="00FD7527" w:rsidRPr="00B00E6B" w:rsidTr="00732DD0">
        <w:trPr>
          <w:trHeight w:val="285"/>
        </w:trPr>
        <w:tc>
          <w:tcPr>
            <w:tcW w:w="1999" w:type="dxa"/>
            <w:tcBorders>
              <w:top w:val="nil"/>
              <w:left w:val="nil"/>
              <w:bottom w:val="nil"/>
              <w:right w:val="nil"/>
            </w:tcBorders>
            <w:shd w:val="clear" w:color="auto" w:fill="auto"/>
            <w:noWrap/>
            <w:vAlign w:val="center"/>
            <w:hideMark/>
          </w:tcPr>
          <w:p w:rsidR="00670D83" w:rsidRDefault="00FF17D2">
            <w:pPr>
              <w:pStyle w:val="MDPI42tablebody"/>
              <w:rPr>
                <w:b w:val="0"/>
              </w:rPr>
            </w:pPr>
            <w:r w:rsidRPr="00FF17D2">
              <w:rPr>
                <w:b w:val="0"/>
              </w:rPr>
              <w:t>Protein (g)</w:t>
            </w:r>
          </w:p>
        </w:tc>
        <w:tc>
          <w:tcPr>
            <w:tcW w:w="1174"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683,66</w:t>
            </w:r>
          </w:p>
        </w:tc>
        <w:tc>
          <w:tcPr>
            <w:tcW w:w="1033"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500</w:t>
            </w:r>
          </w:p>
        </w:tc>
        <w:tc>
          <w:tcPr>
            <w:tcW w:w="851"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136,73</w:t>
            </w:r>
          </w:p>
        </w:tc>
        <w:tc>
          <w:tcPr>
            <w:tcW w:w="992" w:type="dxa"/>
            <w:tcBorders>
              <w:top w:val="nil"/>
              <w:left w:val="nil"/>
              <w:bottom w:val="nil"/>
              <w:right w:val="single" w:sz="4" w:space="0" w:color="auto"/>
            </w:tcBorders>
            <w:shd w:val="clear" w:color="auto" w:fill="auto"/>
            <w:noWrap/>
            <w:vAlign w:val="bottom"/>
            <w:hideMark/>
          </w:tcPr>
          <w:p w:rsidR="00670D83" w:rsidRDefault="00FF17D2">
            <w:pPr>
              <w:pStyle w:val="MDPI42tablebody"/>
              <w:rPr>
                <w:b w:val="0"/>
              </w:rPr>
            </w:pPr>
            <w:r w:rsidRPr="00FF17D2">
              <w:rPr>
                <w:b w:val="0"/>
              </w:rPr>
              <w:t>100,00</w:t>
            </w:r>
          </w:p>
        </w:tc>
        <w:tc>
          <w:tcPr>
            <w:tcW w:w="1038" w:type="dxa"/>
            <w:tcBorders>
              <w:top w:val="nil"/>
              <w:left w:val="single" w:sz="4" w:space="0" w:color="auto"/>
              <w:bottom w:val="nil"/>
              <w:right w:val="nil"/>
            </w:tcBorders>
            <w:shd w:val="clear" w:color="auto" w:fill="auto"/>
            <w:noWrap/>
            <w:vAlign w:val="bottom"/>
            <w:hideMark/>
          </w:tcPr>
          <w:p w:rsidR="00670D83" w:rsidRDefault="00FF17D2">
            <w:pPr>
              <w:pStyle w:val="MDPI42tablebody"/>
              <w:rPr>
                <w:b w:val="0"/>
              </w:rPr>
            </w:pPr>
            <w:r w:rsidRPr="00FF17D2">
              <w:rPr>
                <w:b w:val="0"/>
              </w:rPr>
              <w:t>91,94</w:t>
            </w:r>
          </w:p>
        </w:tc>
        <w:tc>
          <w:tcPr>
            <w:tcW w:w="1105" w:type="dxa"/>
            <w:tcBorders>
              <w:top w:val="nil"/>
              <w:left w:val="nil"/>
              <w:bottom w:val="nil"/>
              <w:right w:val="nil"/>
            </w:tcBorders>
            <w:vAlign w:val="bottom"/>
          </w:tcPr>
          <w:p w:rsidR="00670D83" w:rsidRDefault="00FF17D2">
            <w:pPr>
              <w:pStyle w:val="MDPI42tablebody"/>
              <w:rPr>
                <w:b w:val="0"/>
              </w:rPr>
            </w:pPr>
            <w:r w:rsidRPr="00FF17D2">
              <w:rPr>
                <w:b w:val="0"/>
              </w:rPr>
              <w:t>25</w:t>
            </w:r>
          </w:p>
        </w:tc>
        <w:tc>
          <w:tcPr>
            <w:tcW w:w="755"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367,78</w:t>
            </w:r>
          </w:p>
        </w:tc>
        <w:tc>
          <w:tcPr>
            <w:tcW w:w="1190"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100</w:t>
            </w:r>
          </w:p>
        </w:tc>
      </w:tr>
      <w:tr w:rsidR="00FD7527" w:rsidRPr="00B00E6B" w:rsidTr="00732DD0">
        <w:trPr>
          <w:trHeight w:val="285"/>
        </w:trPr>
        <w:tc>
          <w:tcPr>
            <w:tcW w:w="1999" w:type="dxa"/>
            <w:tcBorders>
              <w:top w:val="nil"/>
              <w:left w:val="nil"/>
              <w:bottom w:val="nil"/>
              <w:right w:val="nil"/>
            </w:tcBorders>
            <w:shd w:val="clear" w:color="auto" w:fill="auto"/>
            <w:noWrap/>
            <w:vAlign w:val="center"/>
            <w:hideMark/>
          </w:tcPr>
          <w:p w:rsidR="00670D83" w:rsidRDefault="00FF17D2">
            <w:pPr>
              <w:pStyle w:val="MDPI42tablebody"/>
              <w:rPr>
                <w:b w:val="0"/>
              </w:rPr>
            </w:pPr>
            <w:r w:rsidRPr="00FF17D2">
              <w:rPr>
                <w:b w:val="0"/>
              </w:rPr>
              <w:t>Linoleic Acid (g)</w:t>
            </w:r>
          </w:p>
        </w:tc>
        <w:tc>
          <w:tcPr>
            <w:tcW w:w="1174"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85,76</w:t>
            </w:r>
          </w:p>
        </w:tc>
        <w:tc>
          <w:tcPr>
            <w:tcW w:w="1033"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178</w:t>
            </w:r>
          </w:p>
        </w:tc>
        <w:tc>
          <w:tcPr>
            <w:tcW w:w="851"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48,18</w:t>
            </w:r>
          </w:p>
        </w:tc>
        <w:tc>
          <w:tcPr>
            <w:tcW w:w="992" w:type="dxa"/>
            <w:tcBorders>
              <w:top w:val="nil"/>
              <w:left w:val="nil"/>
              <w:bottom w:val="nil"/>
              <w:right w:val="single" w:sz="4" w:space="0" w:color="auto"/>
            </w:tcBorders>
            <w:shd w:val="clear" w:color="auto" w:fill="auto"/>
            <w:noWrap/>
            <w:vAlign w:val="bottom"/>
            <w:hideMark/>
          </w:tcPr>
          <w:p w:rsidR="00670D83" w:rsidRDefault="00FF17D2">
            <w:pPr>
              <w:pStyle w:val="MDPI42tablebody"/>
              <w:rPr>
                <w:b w:val="0"/>
              </w:rPr>
            </w:pPr>
            <w:r w:rsidRPr="00FF17D2">
              <w:rPr>
                <w:b w:val="0"/>
              </w:rPr>
              <w:t>48,18</w:t>
            </w:r>
          </w:p>
        </w:tc>
        <w:tc>
          <w:tcPr>
            <w:tcW w:w="1038" w:type="dxa"/>
            <w:tcBorders>
              <w:top w:val="nil"/>
              <w:left w:val="single" w:sz="4" w:space="0" w:color="auto"/>
              <w:bottom w:val="nil"/>
              <w:right w:val="nil"/>
            </w:tcBorders>
            <w:shd w:val="clear" w:color="auto" w:fill="auto"/>
            <w:noWrap/>
            <w:vAlign w:val="bottom"/>
            <w:hideMark/>
          </w:tcPr>
          <w:p w:rsidR="00670D83" w:rsidRDefault="00FF17D2">
            <w:pPr>
              <w:pStyle w:val="MDPI42tablebody"/>
              <w:rPr>
                <w:b w:val="0"/>
              </w:rPr>
            </w:pPr>
            <w:r w:rsidRPr="00FF17D2">
              <w:rPr>
                <w:b w:val="0"/>
              </w:rPr>
              <w:t>11,53</w:t>
            </w:r>
          </w:p>
        </w:tc>
        <w:tc>
          <w:tcPr>
            <w:tcW w:w="1105" w:type="dxa"/>
            <w:tcBorders>
              <w:top w:val="nil"/>
              <w:left w:val="nil"/>
              <w:bottom w:val="nil"/>
              <w:right w:val="nil"/>
            </w:tcBorders>
            <w:vAlign w:val="bottom"/>
          </w:tcPr>
          <w:p w:rsidR="00670D83" w:rsidRDefault="00FF17D2">
            <w:pPr>
              <w:pStyle w:val="MDPI42tablebody"/>
              <w:rPr>
                <w:b w:val="0"/>
              </w:rPr>
            </w:pPr>
            <w:r w:rsidRPr="00FF17D2">
              <w:rPr>
                <w:b w:val="0"/>
              </w:rPr>
              <w:t>8,9</w:t>
            </w:r>
          </w:p>
        </w:tc>
        <w:tc>
          <w:tcPr>
            <w:tcW w:w="755"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129,59</w:t>
            </w:r>
          </w:p>
        </w:tc>
        <w:tc>
          <w:tcPr>
            <w:tcW w:w="1190"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100</w:t>
            </w:r>
          </w:p>
        </w:tc>
      </w:tr>
      <w:tr w:rsidR="00FD7527" w:rsidRPr="00B00E6B" w:rsidTr="00732DD0">
        <w:trPr>
          <w:trHeight w:val="285"/>
        </w:trPr>
        <w:tc>
          <w:tcPr>
            <w:tcW w:w="1999" w:type="dxa"/>
            <w:tcBorders>
              <w:top w:val="nil"/>
              <w:left w:val="nil"/>
              <w:bottom w:val="nil"/>
              <w:right w:val="nil"/>
            </w:tcBorders>
            <w:shd w:val="clear" w:color="auto" w:fill="auto"/>
            <w:noWrap/>
            <w:vAlign w:val="center"/>
            <w:hideMark/>
          </w:tcPr>
          <w:p w:rsidR="00670D83" w:rsidRDefault="00FF17D2">
            <w:pPr>
              <w:pStyle w:val="MDPI42tablebody"/>
              <w:rPr>
                <w:b w:val="0"/>
              </w:rPr>
            </w:pPr>
            <w:r w:rsidRPr="00FF17D2">
              <w:rPr>
                <w:b w:val="0"/>
              </w:rPr>
              <w:t>α-Linolenic Acid (g)</w:t>
            </w:r>
          </w:p>
        </w:tc>
        <w:tc>
          <w:tcPr>
            <w:tcW w:w="1174"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15,53</w:t>
            </w:r>
          </w:p>
        </w:tc>
        <w:tc>
          <w:tcPr>
            <w:tcW w:w="1033"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44</w:t>
            </w:r>
          </w:p>
        </w:tc>
        <w:tc>
          <w:tcPr>
            <w:tcW w:w="851"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35,29</w:t>
            </w:r>
          </w:p>
        </w:tc>
        <w:tc>
          <w:tcPr>
            <w:tcW w:w="992" w:type="dxa"/>
            <w:tcBorders>
              <w:top w:val="nil"/>
              <w:left w:val="nil"/>
              <w:bottom w:val="nil"/>
              <w:right w:val="single" w:sz="4" w:space="0" w:color="auto"/>
            </w:tcBorders>
            <w:shd w:val="clear" w:color="auto" w:fill="auto"/>
            <w:noWrap/>
            <w:vAlign w:val="bottom"/>
            <w:hideMark/>
          </w:tcPr>
          <w:p w:rsidR="00670D83" w:rsidRDefault="00FF17D2">
            <w:pPr>
              <w:pStyle w:val="MDPI42tablebody"/>
              <w:rPr>
                <w:b w:val="0"/>
              </w:rPr>
            </w:pPr>
            <w:r w:rsidRPr="00FF17D2">
              <w:rPr>
                <w:b w:val="0"/>
              </w:rPr>
              <w:t>35,29</w:t>
            </w:r>
          </w:p>
        </w:tc>
        <w:tc>
          <w:tcPr>
            <w:tcW w:w="1038" w:type="dxa"/>
            <w:tcBorders>
              <w:top w:val="nil"/>
              <w:left w:val="single" w:sz="4" w:space="0" w:color="auto"/>
              <w:bottom w:val="nil"/>
              <w:right w:val="nil"/>
            </w:tcBorders>
            <w:shd w:val="clear" w:color="auto" w:fill="auto"/>
            <w:noWrap/>
            <w:vAlign w:val="bottom"/>
            <w:hideMark/>
          </w:tcPr>
          <w:p w:rsidR="00670D83" w:rsidRDefault="00FF17D2">
            <w:pPr>
              <w:pStyle w:val="MDPI42tablebody"/>
              <w:rPr>
                <w:b w:val="0"/>
              </w:rPr>
            </w:pPr>
            <w:r w:rsidRPr="00FF17D2">
              <w:rPr>
                <w:b w:val="0"/>
              </w:rPr>
              <w:t>2,09</w:t>
            </w:r>
          </w:p>
        </w:tc>
        <w:tc>
          <w:tcPr>
            <w:tcW w:w="1105" w:type="dxa"/>
            <w:tcBorders>
              <w:top w:val="nil"/>
              <w:left w:val="nil"/>
              <w:bottom w:val="nil"/>
              <w:right w:val="nil"/>
            </w:tcBorders>
            <w:vAlign w:val="bottom"/>
          </w:tcPr>
          <w:p w:rsidR="00670D83" w:rsidRDefault="00FF17D2">
            <w:pPr>
              <w:pStyle w:val="MDPI42tablebody"/>
              <w:rPr>
                <w:b w:val="0"/>
              </w:rPr>
            </w:pPr>
            <w:r w:rsidRPr="00FF17D2">
              <w:rPr>
                <w:b w:val="0"/>
              </w:rPr>
              <w:t>2,2</w:t>
            </w:r>
          </w:p>
        </w:tc>
        <w:tc>
          <w:tcPr>
            <w:tcW w:w="755"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94,91</w:t>
            </w:r>
          </w:p>
        </w:tc>
        <w:tc>
          <w:tcPr>
            <w:tcW w:w="1190"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94,91</w:t>
            </w:r>
          </w:p>
        </w:tc>
      </w:tr>
      <w:tr w:rsidR="00FD7527" w:rsidRPr="00B00E6B" w:rsidTr="00732DD0">
        <w:trPr>
          <w:trHeight w:val="285"/>
        </w:trPr>
        <w:tc>
          <w:tcPr>
            <w:tcW w:w="1999" w:type="dxa"/>
            <w:tcBorders>
              <w:top w:val="nil"/>
              <w:left w:val="nil"/>
              <w:bottom w:val="nil"/>
              <w:right w:val="nil"/>
            </w:tcBorders>
            <w:shd w:val="clear" w:color="auto" w:fill="auto"/>
            <w:noWrap/>
            <w:vAlign w:val="center"/>
            <w:hideMark/>
          </w:tcPr>
          <w:p w:rsidR="00670D83" w:rsidRDefault="00FF17D2">
            <w:pPr>
              <w:pStyle w:val="MDPI42tablebody"/>
              <w:rPr>
                <w:b w:val="0"/>
              </w:rPr>
            </w:pPr>
            <w:r w:rsidRPr="00FF17D2">
              <w:rPr>
                <w:b w:val="0"/>
              </w:rPr>
              <w:t>DHA (mg)</w:t>
            </w:r>
          </w:p>
        </w:tc>
        <w:tc>
          <w:tcPr>
            <w:tcW w:w="1174"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1973,28</w:t>
            </w:r>
          </w:p>
        </w:tc>
        <w:tc>
          <w:tcPr>
            <w:tcW w:w="1033"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3040</w:t>
            </w:r>
          </w:p>
        </w:tc>
        <w:tc>
          <w:tcPr>
            <w:tcW w:w="851"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64,91</w:t>
            </w:r>
          </w:p>
        </w:tc>
        <w:tc>
          <w:tcPr>
            <w:tcW w:w="992" w:type="dxa"/>
            <w:tcBorders>
              <w:top w:val="nil"/>
              <w:left w:val="nil"/>
              <w:bottom w:val="nil"/>
              <w:right w:val="single" w:sz="4" w:space="0" w:color="auto"/>
            </w:tcBorders>
            <w:shd w:val="clear" w:color="auto" w:fill="auto"/>
            <w:noWrap/>
            <w:vAlign w:val="bottom"/>
            <w:hideMark/>
          </w:tcPr>
          <w:p w:rsidR="00670D83" w:rsidRDefault="00FF17D2">
            <w:pPr>
              <w:pStyle w:val="MDPI42tablebody"/>
              <w:rPr>
                <w:b w:val="0"/>
              </w:rPr>
            </w:pPr>
            <w:r w:rsidRPr="00FF17D2">
              <w:rPr>
                <w:b w:val="0"/>
              </w:rPr>
              <w:t>64,91</w:t>
            </w:r>
          </w:p>
        </w:tc>
        <w:tc>
          <w:tcPr>
            <w:tcW w:w="1038" w:type="dxa"/>
            <w:tcBorders>
              <w:top w:val="nil"/>
              <w:left w:val="single" w:sz="4" w:space="0" w:color="auto"/>
              <w:bottom w:val="nil"/>
              <w:right w:val="nil"/>
            </w:tcBorders>
            <w:shd w:val="clear" w:color="auto" w:fill="auto"/>
            <w:noWrap/>
            <w:vAlign w:val="bottom"/>
            <w:hideMark/>
          </w:tcPr>
          <w:p w:rsidR="00670D83" w:rsidRDefault="00FF17D2">
            <w:pPr>
              <w:pStyle w:val="MDPI42tablebody"/>
              <w:rPr>
                <w:b w:val="0"/>
              </w:rPr>
            </w:pPr>
            <w:r w:rsidRPr="00FF17D2">
              <w:rPr>
                <w:b w:val="0"/>
              </w:rPr>
              <w:t>265,39</w:t>
            </w:r>
          </w:p>
        </w:tc>
        <w:tc>
          <w:tcPr>
            <w:tcW w:w="1105" w:type="dxa"/>
            <w:tcBorders>
              <w:top w:val="nil"/>
              <w:left w:val="nil"/>
              <w:bottom w:val="nil"/>
              <w:right w:val="nil"/>
            </w:tcBorders>
            <w:vAlign w:val="bottom"/>
          </w:tcPr>
          <w:p w:rsidR="00670D83" w:rsidRDefault="00FF17D2">
            <w:pPr>
              <w:pStyle w:val="MDPI42tablebody"/>
              <w:rPr>
                <w:b w:val="0"/>
              </w:rPr>
            </w:pPr>
            <w:r w:rsidRPr="00FF17D2">
              <w:rPr>
                <w:b w:val="0"/>
              </w:rPr>
              <w:t>152</w:t>
            </w:r>
          </w:p>
        </w:tc>
        <w:tc>
          <w:tcPr>
            <w:tcW w:w="755"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174,60</w:t>
            </w:r>
          </w:p>
        </w:tc>
        <w:tc>
          <w:tcPr>
            <w:tcW w:w="1190"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100</w:t>
            </w:r>
          </w:p>
        </w:tc>
      </w:tr>
      <w:tr w:rsidR="00FD7527" w:rsidRPr="00B00E6B" w:rsidTr="00732DD0">
        <w:trPr>
          <w:trHeight w:val="285"/>
        </w:trPr>
        <w:tc>
          <w:tcPr>
            <w:tcW w:w="1999" w:type="dxa"/>
            <w:tcBorders>
              <w:top w:val="nil"/>
              <w:left w:val="nil"/>
              <w:bottom w:val="nil"/>
              <w:right w:val="nil"/>
            </w:tcBorders>
            <w:shd w:val="clear" w:color="auto" w:fill="auto"/>
            <w:noWrap/>
            <w:vAlign w:val="center"/>
            <w:hideMark/>
          </w:tcPr>
          <w:p w:rsidR="00670D83" w:rsidRDefault="00FF17D2">
            <w:pPr>
              <w:pStyle w:val="MDPI42tablebody"/>
              <w:rPr>
                <w:b w:val="0"/>
              </w:rPr>
            </w:pPr>
            <w:r w:rsidRPr="00FF17D2">
              <w:rPr>
                <w:b w:val="0"/>
              </w:rPr>
              <w:t>Fiber (g)</w:t>
            </w:r>
          </w:p>
        </w:tc>
        <w:tc>
          <w:tcPr>
            <w:tcW w:w="1174"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188,41</w:t>
            </w:r>
          </w:p>
        </w:tc>
        <w:tc>
          <w:tcPr>
            <w:tcW w:w="1033"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260</w:t>
            </w:r>
          </w:p>
        </w:tc>
        <w:tc>
          <w:tcPr>
            <w:tcW w:w="851"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72,46</w:t>
            </w:r>
          </w:p>
        </w:tc>
        <w:tc>
          <w:tcPr>
            <w:tcW w:w="992" w:type="dxa"/>
            <w:tcBorders>
              <w:top w:val="nil"/>
              <w:left w:val="nil"/>
              <w:bottom w:val="nil"/>
              <w:right w:val="single" w:sz="4" w:space="0" w:color="auto"/>
            </w:tcBorders>
            <w:shd w:val="clear" w:color="auto" w:fill="auto"/>
            <w:noWrap/>
            <w:vAlign w:val="bottom"/>
            <w:hideMark/>
          </w:tcPr>
          <w:p w:rsidR="00670D83" w:rsidRDefault="00FF17D2">
            <w:pPr>
              <w:pStyle w:val="MDPI42tablebody"/>
              <w:rPr>
                <w:b w:val="0"/>
              </w:rPr>
            </w:pPr>
            <w:r w:rsidRPr="00FF17D2">
              <w:rPr>
                <w:b w:val="0"/>
              </w:rPr>
              <w:t>72,46</w:t>
            </w:r>
          </w:p>
        </w:tc>
        <w:tc>
          <w:tcPr>
            <w:tcW w:w="1038" w:type="dxa"/>
            <w:tcBorders>
              <w:top w:val="nil"/>
              <w:left w:val="single" w:sz="4" w:space="0" w:color="auto"/>
              <w:bottom w:val="nil"/>
              <w:right w:val="nil"/>
            </w:tcBorders>
            <w:shd w:val="clear" w:color="auto" w:fill="auto"/>
            <w:noWrap/>
            <w:vAlign w:val="bottom"/>
            <w:hideMark/>
          </w:tcPr>
          <w:p w:rsidR="00670D83" w:rsidRDefault="00FF17D2">
            <w:pPr>
              <w:pStyle w:val="MDPI42tablebody"/>
              <w:rPr>
                <w:b w:val="0"/>
              </w:rPr>
            </w:pPr>
            <w:r w:rsidRPr="00FF17D2">
              <w:rPr>
                <w:b w:val="0"/>
              </w:rPr>
              <w:t>25,34</w:t>
            </w:r>
          </w:p>
        </w:tc>
        <w:tc>
          <w:tcPr>
            <w:tcW w:w="1105" w:type="dxa"/>
            <w:tcBorders>
              <w:top w:val="nil"/>
              <w:left w:val="nil"/>
              <w:bottom w:val="nil"/>
              <w:right w:val="nil"/>
            </w:tcBorders>
            <w:vAlign w:val="bottom"/>
          </w:tcPr>
          <w:p w:rsidR="00670D83" w:rsidRDefault="00FF17D2">
            <w:pPr>
              <w:pStyle w:val="MDPI42tablebody"/>
              <w:rPr>
                <w:b w:val="0"/>
              </w:rPr>
            </w:pPr>
            <w:r w:rsidRPr="00FF17D2">
              <w:rPr>
                <w:b w:val="0"/>
              </w:rPr>
              <w:t>13</w:t>
            </w:r>
          </w:p>
        </w:tc>
        <w:tc>
          <w:tcPr>
            <w:tcW w:w="755"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194,91</w:t>
            </w:r>
          </w:p>
        </w:tc>
        <w:tc>
          <w:tcPr>
            <w:tcW w:w="1190"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100</w:t>
            </w:r>
          </w:p>
        </w:tc>
      </w:tr>
      <w:tr w:rsidR="00FD7527" w:rsidRPr="00B00E6B" w:rsidTr="00732DD0">
        <w:trPr>
          <w:trHeight w:val="285"/>
        </w:trPr>
        <w:tc>
          <w:tcPr>
            <w:tcW w:w="1999" w:type="dxa"/>
            <w:tcBorders>
              <w:top w:val="nil"/>
              <w:left w:val="nil"/>
              <w:bottom w:val="nil"/>
              <w:right w:val="nil"/>
            </w:tcBorders>
            <w:shd w:val="clear" w:color="auto" w:fill="auto"/>
            <w:noWrap/>
            <w:vAlign w:val="center"/>
            <w:hideMark/>
          </w:tcPr>
          <w:p w:rsidR="00670D83" w:rsidRDefault="00FF17D2">
            <w:pPr>
              <w:pStyle w:val="MDPI42tablebody"/>
              <w:rPr>
                <w:b w:val="0"/>
              </w:rPr>
            </w:pPr>
            <w:r w:rsidRPr="00FF17D2">
              <w:rPr>
                <w:b w:val="0"/>
              </w:rPr>
              <w:t xml:space="preserve">Vitamin B1 (mg) </w:t>
            </w:r>
          </w:p>
        </w:tc>
        <w:tc>
          <w:tcPr>
            <w:tcW w:w="1174"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7,20</w:t>
            </w:r>
          </w:p>
        </w:tc>
        <w:tc>
          <w:tcPr>
            <w:tcW w:w="1033"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16</w:t>
            </w:r>
          </w:p>
        </w:tc>
        <w:tc>
          <w:tcPr>
            <w:tcW w:w="851"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44,99</w:t>
            </w:r>
          </w:p>
        </w:tc>
        <w:tc>
          <w:tcPr>
            <w:tcW w:w="992" w:type="dxa"/>
            <w:tcBorders>
              <w:top w:val="nil"/>
              <w:left w:val="nil"/>
              <w:bottom w:val="nil"/>
              <w:right w:val="single" w:sz="4" w:space="0" w:color="auto"/>
            </w:tcBorders>
            <w:shd w:val="clear" w:color="auto" w:fill="auto"/>
            <w:noWrap/>
            <w:vAlign w:val="bottom"/>
            <w:hideMark/>
          </w:tcPr>
          <w:p w:rsidR="00670D83" w:rsidRDefault="00FF17D2">
            <w:pPr>
              <w:pStyle w:val="MDPI42tablebody"/>
              <w:rPr>
                <w:b w:val="0"/>
              </w:rPr>
            </w:pPr>
            <w:r w:rsidRPr="00FF17D2">
              <w:rPr>
                <w:b w:val="0"/>
              </w:rPr>
              <w:t>44,99</w:t>
            </w:r>
          </w:p>
        </w:tc>
        <w:tc>
          <w:tcPr>
            <w:tcW w:w="1038" w:type="dxa"/>
            <w:tcBorders>
              <w:top w:val="nil"/>
              <w:left w:val="single" w:sz="4" w:space="0" w:color="auto"/>
              <w:bottom w:val="nil"/>
              <w:right w:val="nil"/>
            </w:tcBorders>
            <w:shd w:val="clear" w:color="auto" w:fill="auto"/>
            <w:noWrap/>
            <w:vAlign w:val="bottom"/>
            <w:hideMark/>
          </w:tcPr>
          <w:p w:rsidR="00670D83" w:rsidRDefault="00FF17D2">
            <w:pPr>
              <w:pStyle w:val="MDPI42tablebody"/>
              <w:rPr>
                <w:b w:val="0"/>
              </w:rPr>
            </w:pPr>
            <w:r w:rsidRPr="00FF17D2">
              <w:rPr>
                <w:b w:val="0"/>
              </w:rPr>
              <w:t>0,97</w:t>
            </w:r>
          </w:p>
        </w:tc>
        <w:tc>
          <w:tcPr>
            <w:tcW w:w="1105" w:type="dxa"/>
            <w:tcBorders>
              <w:top w:val="nil"/>
              <w:left w:val="nil"/>
              <w:bottom w:val="nil"/>
              <w:right w:val="nil"/>
            </w:tcBorders>
            <w:vAlign w:val="bottom"/>
          </w:tcPr>
          <w:p w:rsidR="00670D83" w:rsidRDefault="00FF17D2">
            <w:pPr>
              <w:pStyle w:val="MDPI42tablebody"/>
              <w:rPr>
                <w:b w:val="0"/>
              </w:rPr>
            </w:pPr>
            <w:r w:rsidRPr="00FF17D2">
              <w:rPr>
                <w:b w:val="0"/>
              </w:rPr>
              <w:t>0,8</w:t>
            </w:r>
          </w:p>
        </w:tc>
        <w:tc>
          <w:tcPr>
            <w:tcW w:w="755"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121,01</w:t>
            </w:r>
          </w:p>
        </w:tc>
        <w:tc>
          <w:tcPr>
            <w:tcW w:w="1190"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100</w:t>
            </w:r>
          </w:p>
        </w:tc>
      </w:tr>
      <w:tr w:rsidR="00FD7527" w:rsidRPr="00B00E6B" w:rsidTr="00732DD0">
        <w:trPr>
          <w:trHeight w:val="285"/>
        </w:trPr>
        <w:tc>
          <w:tcPr>
            <w:tcW w:w="1999" w:type="dxa"/>
            <w:tcBorders>
              <w:top w:val="nil"/>
              <w:left w:val="nil"/>
              <w:bottom w:val="nil"/>
              <w:right w:val="nil"/>
            </w:tcBorders>
            <w:shd w:val="clear" w:color="auto" w:fill="auto"/>
            <w:noWrap/>
            <w:vAlign w:val="center"/>
            <w:hideMark/>
          </w:tcPr>
          <w:p w:rsidR="00670D83" w:rsidRDefault="00FF17D2">
            <w:pPr>
              <w:pStyle w:val="MDPI42tablebody"/>
              <w:rPr>
                <w:b w:val="0"/>
              </w:rPr>
            </w:pPr>
            <w:r w:rsidRPr="00FF17D2">
              <w:rPr>
                <w:b w:val="0"/>
              </w:rPr>
              <w:t xml:space="preserve">Vitamin B2 (mg) </w:t>
            </w:r>
          </w:p>
        </w:tc>
        <w:tc>
          <w:tcPr>
            <w:tcW w:w="1174"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9,86</w:t>
            </w:r>
          </w:p>
        </w:tc>
        <w:tc>
          <w:tcPr>
            <w:tcW w:w="1033"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24</w:t>
            </w:r>
          </w:p>
        </w:tc>
        <w:tc>
          <w:tcPr>
            <w:tcW w:w="851"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41,08</w:t>
            </w:r>
          </w:p>
        </w:tc>
        <w:tc>
          <w:tcPr>
            <w:tcW w:w="992" w:type="dxa"/>
            <w:tcBorders>
              <w:top w:val="nil"/>
              <w:left w:val="nil"/>
              <w:bottom w:val="nil"/>
              <w:right w:val="single" w:sz="4" w:space="0" w:color="auto"/>
            </w:tcBorders>
            <w:shd w:val="clear" w:color="auto" w:fill="auto"/>
            <w:noWrap/>
            <w:vAlign w:val="bottom"/>
            <w:hideMark/>
          </w:tcPr>
          <w:p w:rsidR="00670D83" w:rsidRDefault="00FF17D2">
            <w:pPr>
              <w:pStyle w:val="MDPI42tablebody"/>
              <w:rPr>
                <w:b w:val="0"/>
              </w:rPr>
            </w:pPr>
            <w:r w:rsidRPr="00FF17D2">
              <w:rPr>
                <w:b w:val="0"/>
              </w:rPr>
              <w:t>41,08</w:t>
            </w:r>
          </w:p>
        </w:tc>
        <w:tc>
          <w:tcPr>
            <w:tcW w:w="1038" w:type="dxa"/>
            <w:tcBorders>
              <w:top w:val="nil"/>
              <w:left w:val="single" w:sz="4" w:space="0" w:color="auto"/>
              <w:bottom w:val="nil"/>
              <w:right w:val="nil"/>
            </w:tcBorders>
            <w:shd w:val="clear" w:color="auto" w:fill="auto"/>
            <w:noWrap/>
            <w:vAlign w:val="bottom"/>
            <w:hideMark/>
          </w:tcPr>
          <w:p w:rsidR="00670D83" w:rsidRDefault="00FF17D2">
            <w:pPr>
              <w:pStyle w:val="MDPI42tablebody"/>
              <w:rPr>
                <w:b w:val="0"/>
              </w:rPr>
            </w:pPr>
            <w:r w:rsidRPr="00FF17D2">
              <w:rPr>
                <w:b w:val="0"/>
              </w:rPr>
              <w:t>1,33</w:t>
            </w:r>
          </w:p>
        </w:tc>
        <w:tc>
          <w:tcPr>
            <w:tcW w:w="1105" w:type="dxa"/>
            <w:tcBorders>
              <w:top w:val="nil"/>
              <w:left w:val="nil"/>
              <w:bottom w:val="nil"/>
              <w:right w:val="nil"/>
            </w:tcBorders>
            <w:vAlign w:val="bottom"/>
          </w:tcPr>
          <w:p w:rsidR="00670D83" w:rsidRDefault="00FF17D2">
            <w:pPr>
              <w:pStyle w:val="MDPI42tablebody"/>
              <w:rPr>
                <w:b w:val="0"/>
              </w:rPr>
            </w:pPr>
            <w:r w:rsidRPr="00FF17D2">
              <w:rPr>
                <w:b w:val="0"/>
              </w:rPr>
              <w:t>1,2</w:t>
            </w:r>
          </w:p>
        </w:tc>
        <w:tc>
          <w:tcPr>
            <w:tcW w:w="755"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110,49</w:t>
            </w:r>
          </w:p>
        </w:tc>
        <w:tc>
          <w:tcPr>
            <w:tcW w:w="1190"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100</w:t>
            </w:r>
          </w:p>
        </w:tc>
      </w:tr>
      <w:tr w:rsidR="00FD7527" w:rsidRPr="00B00E6B" w:rsidTr="00732DD0">
        <w:trPr>
          <w:trHeight w:val="285"/>
        </w:trPr>
        <w:tc>
          <w:tcPr>
            <w:tcW w:w="1999" w:type="dxa"/>
            <w:tcBorders>
              <w:top w:val="nil"/>
              <w:left w:val="nil"/>
              <w:bottom w:val="nil"/>
              <w:right w:val="nil"/>
            </w:tcBorders>
            <w:shd w:val="clear" w:color="auto" w:fill="auto"/>
            <w:noWrap/>
            <w:vAlign w:val="center"/>
            <w:hideMark/>
          </w:tcPr>
          <w:p w:rsidR="00670D83" w:rsidRDefault="00FF17D2">
            <w:pPr>
              <w:pStyle w:val="MDPI42tablebody"/>
              <w:rPr>
                <w:b w:val="0"/>
              </w:rPr>
            </w:pPr>
            <w:r w:rsidRPr="00FF17D2">
              <w:rPr>
                <w:b w:val="0"/>
              </w:rPr>
              <w:t xml:space="preserve">Vitamin B3 (mg) </w:t>
            </w:r>
          </w:p>
        </w:tc>
        <w:tc>
          <w:tcPr>
            <w:tcW w:w="1174"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118,20</w:t>
            </w:r>
          </w:p>
        </w:tc>
        <w:tc>
          <w:tcPr>
            <w:tcW w:w="1033"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180</w:t>
            </w:r>
          </w:p>
        </w:tc>
        <w:tc>
          <w:tcPr>
            <w:tcW w:w="851"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65,67</w:t>
            </w:r>
          </w:p>
        </w:tc>
        <w:tc>
          <w:tcPr>
            <w:tcW w:w="992" w:type="dxa"/>
            <w:tcBorders>
              <w:top w:val="nil"/>
              <w:left w:val="nil"/>
              <w:bottom w:val="nil"/>
              <w:right w:val="single" w:sz="4" w:space="0" w:color="auto"/>
            </w:tcBorders>
            <w:shd w:val="clear" w:color="auto" w:fill="auto"/>
            <w:noWrap/>
            <w:vAlign w:val="bottom"/>
            <w:hideMark/>
          </w:tcPr>
          <w:p w:rsidR="00670D83" w:rsidRDefault="00FF17D2">
            <w:pPr>
              <w:pStyle w:val="MDPI42tablebody"/>
              <w:rPr>
                <w:b w:val="0"/>
              </w:rPr>
            </w:pPr>
            <w:r w:rsidRPr="00FF17D2">
              <w:rPr>
                <w:b w:val="0"/>
              </w:rPr>
              <w:t>65,67</w:t>
            </w:r>
          </w:p>
        </w:tc>
        <w:tc>
          <w:tcPr>
            <w:tcW w:w="1038" w:type="dxa"/>
            <w:tcBorders>
              <w:top w:val="nil"/>
              <w:left w:val="single" w:sz="4" w:space="0" w:color="auto"/>
              <w:bottom w:val="nil"/>
              <w:right w:val="nil"/>
            </w:tcBorders>
            <w:shd w:val="clear" w:color="auto" w:fill="auto"/>
            <w:noWrap/>
            <w:vAlign w:val="bottom"/>
            <w:hideMark/>
          </w:tcPr>
          <w:p w:rsidR="00670D83" w:rsidRDefault="00FF17D2">
            <w:pPr>
              <w:pStyle w:val="MDPI42tablebody"/>
              <w:rPr>
                <w:b w:val="0"/>
              </w:rPr>
            </w:pPr>
            <w:r w:rsidRPr="00FF17D2">
              <w:rPr>
                <w:b w:val="0"/>
              </w:rPr>
              <w:t>15,90</w:t>
            </w:r>
          </w:p>
        </w:tc>
        <w:tc>
          <w:tcPr>
            <w:tcW w:w="1105" w:type="dxa"/>
            <w:tcBorders>
              <w:top w:val="nil"/>
              <w:left w:val="nil"/>
              <w:bottom w:val="nil"/>
              <w:right w:val="nil"/>
            </w:tcBorders>
            <w:vAlign w:val="bottom"/>
          </w:tcPr>
          <w:p w:rsidR="00670D83" w:rsidRDefault="00FF17D2">
            <w:pPr>
              <w:pStyle w:val="MDPI42tablebody"/>
              <w:rPr>
                <w:b w:val="0"/>
              </w:rPr>
            </w:pPr>
            <w:r w:rsidRPr="00FF17D2">
              <w:rPr>
                <w:b w:val="0"/>
              </w:rPr>
              <w:t>9</w:t>
            </w:r>
          </w:p>
        </w:tc>
        <w:tc>
          <w:tcPr>
            <w:tcW w:w="755"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176,63</w:t>
            </w:r>
          </w:p>
        </w:tc>
        <w:tc>
          <w:tcPr>
            <w:tcW w:w="1190"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100</w:t>
            </w:r>
          </w:p>
        </w:tc>
      </w:tr>
      <w:tr w:rsidR="00FD7527" w:rsidRPr="00B00E6B" w:rsidTr="00732DD0">
        <w:trPr>
          <w:trHeight w:val="285"/>
        </w:trPr>
        <w:tc>
          <w:tcPr>
            <w:tcW w:w="1999" w:type="dxa"/>
            <w:tcBorders>
              <w:top w:val="nil"/>
              <w:left w:val="nil"/>
              <w:bottom w:val="nil"/>
              <w:right w:val="nil"/>
            </w:tcBorders>
            <w:shd w:val="clear" w:color="auto" w:fill="auto"/>
            <w:noWrap/>
            <w:vAlign w:val="center"/>
            <w:hideMark/>
          </w:tcPr>
          <w:p w:rsidR="00670D83" w:rsidRDefault="00FF17D2">
            <w:pPr>
              <w:pStyle w:val="MDPI42tablebody"/>
              <w:rPr>
                <w:b w:val="0"/>
              </w:rPr>
            </w:pPr>
            <w:r w:rsidRPr="00FF17D2">
              <w:rPr>
                <w:b w:val="0"/>
              </w:rPr>
              <w:t xml:space="preserve">Vitamin B6 (mg) </w:t>
            </w:r>
          </w:p>
        </w:tc>
        <w:tc>
          <w:tcPr>
            <w:tcW w:w="1174"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11,18</w:t>
            </w:r>
          </w:p>
        </w:tc>
        <w:tc>
          <w:tcPr>
            <w:tcW w:w="1033"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20</w:t>
            </w:r>
          </w:p>
        </w:tc>
        <w:tc>
          <w:tcPr>
            <w:tcW w:w="851"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55,92</w:t>
            </w:r>
          </w:p>
        </w:tc>
        <w:tc>
          <w:tcPr>
            <w:tcW w:w="992" w:type="dxa"/>
            <w:tcBorders>
              <w:top w:val="nil"/>
              <w:left w:val="nil"/>
              <w:bottom w:val="nil"/>
              <w:right w:val="single" w:sz="4" w:space="0" w:color="auto"/>
            </w:tcBorders>
            <w:shd w:val="clear" w:color="auto" w:fill="auto"/>
            <w:noWrap/>
            <w:vAlign w:val="bottom"/>
            <w:hideMark/>
          </w:tcPr>
          <w:p w:rsidR="00670D83" w:rsidRDefault="00FF17D2">
            <w:pPr>
              <w:pStyle w:val="MDPI42tablebody"/>
              <w:rPr>
                <w:b w:val="0"/>
              </w:rPr>
            </w:pPr>
            <w:r w:rsidRPr="00FF17D2">
              <w:rPr>
                <w:b w:val="0"/>
              </w:rPr>
              <w:t>55,92</w:t>
            </w:r>
          </w:p>
        </w:tc>
        <w:tc>
          <w:tcPr>
            <w:tcW w:w="1038" w:type="dxa"/>
            <w:tcBorders>
              <w:top w:val="nil"/>
              <w:left w:val="single" w:sz="4" w:space="0" w:color="auto"/>
              <w:bottom w:val="nil"/>
              <w:right w:val="nil"/>
            </w:tcBorders>
            <w:shd w:val="clear" w:color="auto" w:fill="auto"/>
            <w:noWrap/>
            <w:vAlign w:val="bottom"/>
            <w:hideMark/>
          </w:tcPr>
          <w:p w:rsidR="00670D83" w:rsidRDefault="00FF17D2">
            <w:pPr>
              <w:pStyle w:val="MDPI42tablebody"/>
              <w:rPr>
                <w:b w:val="0"/>
              </w:rPr>
            </w:pPr>
            <w:r w:rsidRPr="00FF17D2">
              <w:rPr>
                <w:b w:val="0"/>
              </w:rPr>
              <w:t>1,50</w:t>
            </w:r>
          </w:p>
        </w:tc>
        <w:tc>
          <w:tcPr>
            <w:tcW w:w="1105" w:type="dxa"/>
            <w:tcBorders>
              <w:top w:val="nil"/>
              <w:left w:val="nil"/>
              <w:bottom w:val="nil"/>
              <w:right w:val="nil"/>
            </w:tcBorders>
            <w:vAlign w:val="bottom"/>
          </w:tcPr>
          <w:p w:rsidR="00670D83" w:rsidRDefault="00FF17D2">
            <w:pPr>
              <w:pStyle w:val="MDPI42tablebody"/>
              <w:rPr>
                <w:b w:val="0"/>
              </w:rPr>
            </w:pPr>
            <w:r w:rsidRPr="00FF17D2">
              <w:rPr>
                <w:b w:val="0"/>
              </w:rPr>
              <w:t>1</w:t>
            </w:r>
          </w:p>
        </w:tc>
        <w:tc>
          <w:tcPr>
            <w:tcW w:w="755"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150,40</w:t>
            </w:r>
          </w:p>
        </w:tc>
        <w:tc>
          <w:tcPr>
            <w:tcW w:w="1190"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100</w:t>
            </w:r>
          </w:p>
        </w:tc>
      </w:tr>
      <w:tr w:rsidR="00FD7527" w:rsidRPr="00B00E6B" w:rsidTr="00732DD0">
        <w:trPr>
          <w:trHeight w:val="285"/>
        </w:trPr>
        <w:tc>
          <w:tcPr>
            <w:tcW w:w="1999" w:type="dxa"/>
            <w:tcBorders>
              <w:top w:val="nil"/>
              <w:left w:val="nil"/>
              <w:bottom w:val="nil"/>
              <w:right w:val="nil"/>
            </w:tcBorders>
            <w:shd w:val="clear" w:color="auto" w:fill="auto"/>
            <w:noWrap/>
            <w:vAlign w:val="center"/>
            <w:hideMark/>
          </w:tcPr>
          <w:p w:rsidR="00670D83" w:rsidRDefault="00FF17D2">
            <w:pPr>
              <w:pStyle w:val="MDPI42tablebody"/>
              <w:rPr>
                <w:b w:val="0"/>
              </w:rPr>
            </w:pPr>
            <w:r w:rsidRPr="00FF17D2">
              <w:rPr>
                <w:b w:val="0"/>
              </w:rPr>
              <w:t>Vitamin B9 (µg)</w:t>
            </w:r>
          </w:p>
        </w:tc>
        <w:tc>
          <w:tcPr>
            <w:tcW w:w="1174"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2464,13</w:t>
            </w:r>
          </w:p>
        </w:tc>
        <w:tc>
          <w:tcPr>
            <w:tcW w:w="1033"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4020</w:t>
            </w:r>
          </w:p>
        </w:tc>
        <w:tc>
          <w:tcPr>
            <w:tcW w:w="851"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61,30</w:t>
            </w:r>
          </w:p>
        </w:tc>
        <w:tc>
          <w:tcPr>
            <w:tcW w:w="992" w:type="dxa"/>
            <w:tcBorders>
              <w:top w:val="nil"/>
              <w:left w:val="nil"/>
              <w:bottom w:val="nil"/>
              <w:right w:val="single" w:sz="4" w:space="0" w:color="auto"/>
            </w:tcBorders>
            <w:shd w:val="clear" w:color="auto" w:fill="auto"/>
            <w:noWrap/>
            <w:vAlign w:val="bottom"/>
            <w:hideMark/>
          </w:tcPr>
          <w:p w:rsidR="00670D83" w:rsidRDefault="00FF17D2">
            <w:pPr>
              <w:pStyle w:val="MDPI42tablebody"/>
              <w:rPr>
                <w:b w:val="0"/>
              </w:rPr>
            </w:pPr>
            <w:r w:rsidRPr="00FF17D2">
              <w:rPr>
                <w:b w:val="0"/>
              </w:rPr>
              <w:t>61,30</w:t>
            </w:r>
          </w:p>
        </w:tc>
        <w:tc>
          <w:tcPr>
            <w:tcW w:w="1038" w:type="dxa"/>
            <w:tcBorders>
              <w:top w:val="nil"/>
              <w:left w:val="single" w:sz="4" w:space="0" w:color="auto"/>
              <w:bottom w:val="nil"/>
              <w:right w:val="nil"/>
            </w:tcBorders>
            <w:shd w:val="clear" w:color="auto" w:fill="auto"/>
            <w:noWrap/>
            <w:vAlign w:val="bottom"/>
            <w:hideMark/>
          </w:tcPr>
          <w:p w:rsidR="00670D83" w:rsidRDefault="00FF17D2">
            <w:pPr>
              <w:pStyle w:val="MDPI42tablebody"/>
              <w:rPr>
                <w:b w:val="0"/>
              </w:rPr>
            </w:pPr>
            <w:r w:rsidRPr="00FF17D2">
              <w:rPr>
                <w:b w:val="0"/>
              </w:rPr>
              <w:t>331,40</w:t>
            </w:r>
          </w:p>
        </w:tc>
        <w:tc>
          <w:tcPr>
            <w:tcW w:w="1105" w:type="dxa"/>
            <w:tcBorders>
              <w:top w:val="nil"/>
              <w:left w:val="nil"/>
              <w:bottom w:val="nil"/>
              <w:right w:val="nil"/>
            </w:tcBorders>
            <w:vAlign w:val="bottom"/>
          </w:tcPr>
          <w:p w:rsidR="00670D83" w:rsidRDefault="00FF17D2">
            <w:pPr>
              <w:pStyle w:val="MDPI42tablebody"/>
              <w:rPr>
                <w:b w:val="0"/>
              </w:rPr>
            </w:pPr>
            <w:r w:rsidRPr="00FF17D2">
              <w:rPr>
                <w:b w:val="0"/>
              </w:rPr>
              <w:t>201</w:t>
            </w:r>
          </w:p>
        </w:tc>
        <w:tc>
          <w:tcPr>
            <w:tcW w:w="755"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164,88</w:t>
            </w:r>
          </w:p>
        </w:tc>
        <w:tc>
          <w:tcPr>
            <w:tcW w:w="1190"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100</w:t>
            </w:r>
          </w:p>
        </w:tc>
      </w:tr>
      <w:tr w:rsidR="00FD7527" w:rsidRPr="00B00E6B" w:rsidTr="00732DD0">
        <w:trPr>
          <w:trHeight w:val="285"/>
        </w:trPr>
        <w:tc>
          <w:tcPr>
            <w:tcW w:w="1999" w:type="dxa"/>
            <w:tcBorders>
              <w:top w:val="nil"/>
              <w:left w:val="nil"/>
              <w:bottom w:val="nil"/>
              <w:right w:val="nil"/>
            </w:tcBorders>
            <w:shd w:val="clear" w:color="auto" w:fill="auto"/>
            <w:noWrap/>
            <w:vAlign w:val="center"/>
            <w:hideMark/>
          </w:tcPr>
          <w:p w:rsidR="00670D83" w:rsidRDefault="00FF17D2">
            <w:pPr>
              <w:pStyle w:val="MDPI42tablebody"/>
              <w:rPr>
                <w:b w:val="0"/>
              </w:rPr>
            </w:pPr>
            <w:r w:rsidRPr="00FF17D2">
              <w:rPr>
                <w:b w:val="0"/>
              </w:rPr>
              <w:t xml:space="preserve">Vitamin B12 (µg) </w:t>
            </w:r>
          </w:p>
        </w:tc>
        <w:tc>
          <w:tcPr>
            <w:tcW w:w="1174"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24,11</w:t>
            </w:r>
          </w:p>
        </w:tc>
        <w:tc>
          <w:tcPr>
            <w:tcW w:w="1033"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28</w:t>
            </w:r>
          </w:p>
        </w:tc>
        <w:tc>
          <w:tcPr>
            <w:tcW w:w="851"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86,12</w:t>
            </w:r>
          </w:p>
        </w:tc>
        <w:tc>
          <w:tcPr>
            <w:tcW w:w="992" w:type="dxa"/>
            <w:tcBorders>
              <w:top w:val="nil"/>
              <w:left w:val="nil"/>
              <w:bottom w:val="nil"/>
              <w:right w:val="single" w:sz="4" w:space="0" w:color="auto"/>
            </w:tcBorders>
            <w:shd w:val="clear" w:color="auto" w:fill="auto"/>
            <w:noWrap/>
            <w:vAlign w:val="bottom"/>
            <w:hideMark/>
          </w:tcPr>
          <w:p w:rsidR="00670D83" w:rsidRDefault="00FF17D2">
            <w:pPr>
              <w:pStyle w:val="MDPI42tablebody"/>
              <w:rPr>
                <w:b w:val="0"/>
              </w:rPr>
            </w:pPr>
            <w:r w:rsidRPr="00FF17D2">
              <w:rPr>
                <w:b w:val="0"/>
              </w:rPr>
              <w:t>86,12</w:t>
            </w:r>
          </w:p>
        </w:tc>
        <w:tc>
          <w:tcPr>
            <w:tcW w:w="1038" w:type="dxa"/>
            <w:tcBorders>
              <w:top w:val="nil"/>
              <w:left w:val="single" w:sz="4" w:space="0" w:color="auto"/>
              <w:bottom w:val="nil"/>
              <w:right w:val="nil"/>
            </w:tcBorders>
            <w:shd w:val="clear" w:color="auto" w:fill="auto"/>
            <w:noWrap/>
            <w:vAlign w:val="bottom"/>
            <w:hideMark/>
          </w:tcPr>
          <w:p w:rsidR="00670D83" w:rsidRDefault="00FF17D2">
            <w:pPr>
              <w:pStyle w:val="MDPI42tablebody"/>
              <w:rPr>
                <w:b w:val="0"/>
              </w:rPr>
            </w:pPr>
            <w:r w:rsidRPr="00FF17D2">
              <w:rPr>
                <w:b w:val="0"/>
              </w:rPr>
              <w:t>3,24</w:t>
            </w:r>
          </w:p>
        </w:tc>
        <w:tc>
          <w:tcPr>
            <w:tcW w:w="1105" w:type="dxa"/>
            <w:tcBorders>
              <w:top w:val="nil"/>
              <w:left w:val="nil"/>
              <w:bottom w:val="nil"/>
              <w:right w:val="nil"/>
            </w:tcBorders>
            <w:vAlign w:val="bottom"/>
          </w:tcPr>
          <w:p w:rsidR="00670D83" w:rsidRDefault="00FF17D2">
            <w:pPr>
              <w:pStyle w:val="MDPI42tablebody"/>
              <w:rPr>
                <w:b w:val="0"/>
              </w:rPr>
            </w:pPr>
            <w:r w:rsidRPr="00FF17D2">
              <w:rPr>
                <w:b w:val="0"/>
              </w:rPr>
              <w:t>1,4</w:t>
            </w:r>
          </w:p>
        </w:tc>
        <w:tc>
          <w:tcPr>
            <w:tcW w:w="755"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231,64</w:t>
            </w:r>
          </w:p>
        </w:tc>
        <w:tc>
          <w:tcPr>
            <w:tcW w:w="1190"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100</w:t>
            </w:r>
          </w:p>
        </w:tc>
      </w:tr>
      <w:tr w:rsidR="00FD7527" w:rsidRPr="00B00E6B" w:rsidTr="00732DD0">
        <w:trPr>
          <w:trHeight w:val="285"/>
        </w:trPr>
        <w:tc>
          <w:tcPr>
            <w:tcW w:w="1999" w:type="dxa"/>
            <w:tcBorders>
              <w:top w:val="nil"/>
              <w:left w:val="nil"/>
              <w:bottom w:val="nil"/>
              <w:right w:val="nil"/>
            </w:tcBorders>
            <w:shd w:val="clear" w:color="auto" w:fill="auto"/>
            <w:noWrap/>
            <w:vAlign w:val="center"/>
            <w:hideMark/>
          </w:tcPr>
          <w:p w:rsidR="00670D83" w:rsidRDefault="00FF17D2">
            <w:pPr>
              <w:pStyle w:val="MDPI42tablebody"/>
              <w:rPr>
                <w:b w:val="0"/>
              </w:rPr>
            </w:pPr>
            <w:r w:rsidRPr="00FF17D2">
              <w:rPr>
                <w:b w:val="0"/>
              </w:rPr>
              <w:t>Vitamin C (mg)</w:t>
            </w:r>
          </w:p>
        </w:tc>
        <w:tc>
          <w:tcPr>
            <w:tcW w:w="1174"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616,79</w:t>
            </w:r>
          </w:p>
        </w:tc>
        <w:tc>
          <w:tcPr>
            <w:tcW w:w="1033"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1780</w:t>
            </w:r>
          </w:p>
        </w:tc>
        <w:tc>
          <w:tcPr>
            <w:tcW w:w="851"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34,65</w:t>
            </w:r>
          </w:p>
        </w:tc>
        <w:tc>
          <w:tcPr>
            <w:tcW w:w="992" w:type="dxa"/>
            <w:tcBorders>
              <w:top w:val="nil"/>
              <w:left w:val="nil"/>
              <w:bottom w:val="nil"/>
              <w:right w:val="single" w:sz="4" w:space="0" w:color="auto"/>
            </w:tcBorders>
            <w:shd w:val="clear" w:color="auto" w:fill="auto"/>
            <w:noWrap/>
            <w:vAlign w:val="bottom"/>
            <w:hideMark/>
          </w:tcPr>
          <w:p w:rsidR="00670D83" w:rsidRDefault="00FF17D2">
            <w:pPr>
              <w:pStyle w:val="MDPI42tablebody"/>
              <w:rPr>
                <w:b w:val="0"/>
              </w:rPr>
            </w:pPr>
            <w:r w:rsidRPr="00FF17D2">
              <w:rPr>
                <w:b w:val="0"/>
              </w:rPr>
              <w:t>34,65</w:t>
            </w:r>
          </w:p>
        </w:tc>
        <w:tc>
          <w:tcPr>
            <w:tcW w:w="1038" w:type="dxa"/>
            <w:tcBorders>
              <w:top w:val="nil"/>
              <w:left w:val="single" w:sz="4" w:space="0" w:color="auto"/>
              <w:bottom w:val="nil"/>
              <w:right w:val="nil"/>
            </w:tcBorders>
            <w:shd w:val="clear" w:color="auto" w:fill="auto"/>
            <w:noWrap/>
            <w:vAlign w:val="bottom"/>
            <w:hideMark/>
          </w:tcPr>
          <w:p w:rsidR="00670D83" w:rsidRDefault="00FF17D2">
            <w:pPr>
              <w:pStyle w:val="MDPI42tablebody"/>
              <w:rPr>
                <w:b w:val="0"/>
              </w:rPr>
            </w:pPr>
            <w:r w:rsidRPr="00FF17D2">
              <w:rPr>
                <w:b w:val="0"/>
              </w:rPr>
              <w:t>82,95</w:t>
            </w:r>
          </w:p>
        </w:tc>
        <w:tc>
          <w:tcPr>
            <w:tcW w:w="1105" w:type="dxa"/>
            <w:tcBorders>
              <w:top w:val="nil"/>
              <w:left w:val="nil"/>
              <w:bottom w:val="nil"/>
              <w:right w:val="nil"/>
            </w:tcBorders>
            <w:vAlign w:val="bottom"/>
          </w:tcPr>
          <w:p w:rsidR="00670D83" w:rsidRDefault="00FF17D2">
            <w:pPr>
              <w:pStyle w:val="MDPI42tablebody"/>
              <w:rPr>
                <w:b w:val="0"/>
              </w:rPr>
            </w:pPr>
            <w:r w:rsidRPr="00FF17D2">
              <w:rPr>
                <w:b w:val="0"/>
              </w:rPr>
              <w:t>89</w:t>
            </w:r>
          </w:p>
        </w:tc>
        <w:tc>
          <w:tcPr>
            <w:tcW w:w="755"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93,20</w:t>
            </w:r>
          </w:p>
        </w:tc>
        <w:tc>
          <w:tcPr>
            <w:tcW w:w="1190"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93,20</w:t>
            </w:r>
          </w:p>
        </w:tc>
      </w:tr>
      <w:tr w:rsidR="00FD7527" w:rsidRPr="00B00E6B" w:rsidTr="00732DD0">
        <w:trPr>
          <w:trHeight w:val="285"/>
        </w:trPr>
        <w:tc>
          <w:tcPr>
            <w:tcW w:w="1999" w:type="dxa"/>
            <w:tcBorders>
              <w:top w:val="nil"/>
              <w:left w:val="nil"/>
              <w:bottom w:val="nil"/>
              <w:right w:val="nil"/>
            </w:tcBorders>
            <w:shd w:val="clear" w:color="auto" w:fill="auto"/>
            <w:noWrap/>
            <w:vAlign w:val="center"/>
            <w:hideMark/>
          </w:tcPr>
          <w:p w:rsidR="00670D83" w:rsidRDefault="00FF17D2">
            <w:pPr>
              <w:pStyle w:val="MDPI42tablebody"/>
              <w:rPr>
                <w:b w:val="0"/>
              </w:rPr>
            </w:pPr>
            <w:r w:rsidRPr="00FF17D2">
              <w:rPr>
                <w:b w:val="0"/>
              </w:rPr>
              <w:t xml:space="preserve">Vitamin D (µg) </w:t>
            </w:r>
          </w:p>
        </w:tc>
        <w:tc>
          <w:tcPr>
            <w:tcW w:w="1174"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19,79</w:t>
            </w:r>
          </w:p>
        </w:tc>
        <w:tc>
          <w:tcPr>
            <w:tcW w:w="1033"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100</w:t>
            </w:r>
          </w:p>
        </w:tc>
        <w:tc>
          <w:tcPr>
            <w:tcW w:w="851"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19,79</w:t>
            </w:r>
          </w:p>
        </w:tc>
        <w:tc>
          <w:tcPr>
            <w:tcW w:w="992" w:type="dxa"/>
            <w:tcBorders>
              <w:top w:val="nil"/>
              <w:left w:val="nil"/>
              <w:bottom w:val="nil"/>
              <w:right w:val="single" w:sz="4" w:space="0" w:color="auto"/>
            </w:tcBorders>
            <w:shd w:val="clear" w:color="auto" w:fill="auto"/>
            <w:noWrap/>
            <w:vAlign w:val="bottom"/>
            <w:hideMark/>
          </w:tcPr>
          <w:p w:rsidR="00670D83" w:rsidRDefault="00FF17D2">
            <w:pPr>
              <w:pStyle w:val="MDPI42tablebody"/>
              <w:rPr>
                <w:b w:val="0"/>
              </w:rPr>
            </w:pPr>
            <w:r w:rsidRPr="00FF17D2">
              <w:rPr>
                <w:b w:val="0"/>
              </w:rPr>
              <w:t>19,79</w:t>
            </w:r>
          </w:p>
        </w:tc>
        <w:tc>
          <w:tcPr>
            <w:tcW w:w="1038" w:type="dxa"/>
            <w:tcBorders>
              <w:top w:val="nil"/>
              <w:left w:val="single" w:sz="4" w:space="0" w:color="auto"/>
              <w:bottom w:val="nil"/>
              <w:right w:val="nil"/>
            </w:tcBorders>
            <w:shd w:val="clear" w:color="auto" w:fill="auto"/>
            <w:noWrap/>
            <w:vAlign w:val="bottom"/>
            <w:hideMark/>
          </w:tcPr>
          <w:p w:rsidR="00670D83" w:rsidRDefault="00FF17D2">
            <w:pPr>
              <w:pStyle w:val="MDPI42tablebody"/>
              <w:rPr>
                <w:b w:val="0"/>
              </w:rPr>
            </w:pPr>
            <w:r w:rsidRPr="00FF17D2">
              <w:rPr>
                <w:b w:val="0"/>
              </w:rPr>
              <w:t>2,66</w:t>
            </w:r>
          </w:p>
        </w:tc>
        <w:tc>
          <w:tcPr>
            <w:tcW w:w="1105" w:type="dxa"/>
            <w:tcBorders>
              <w:top w:val="nil"/>
              <w:left w:val="nil"/>
              <w:bottom w:val="nil"/>
              <w:right w:val="nil"/>
            </w:tcBorders>
            <w:vAlign w:val="bottom"/>
          </w:tcPr>
          <w:p w:rsidR="00670D83" w:rsidRDefault="00FF17D2">
            <w:pPr>
              <w:pStyle w:val="MDPI42tablebody"/>
              <w:rPr>
                <w:b w:val="0"/>
              </w:rPr>
            </w:pPr>
            <w:r w:rsidRPr="00FF17D2">
              <w:rPr>
                <w:b w:val="0"/>
              </w:rPr>
              <w:t>5</w:t>
            </w:r>
          </w:p>
        </w:tc>
        <w:tc>
          <w:tcPr>
            <w:tcW w:w="755"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53,23</w:t>
            </w:r>
          </w:p>
        </w:tc>
        <w:tc>
          <w:tcPr>
            <w:tcW w:w="1190"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53,23</w:t>
            </w:r>
          </w:p>
        </w:tc>
      </w:tr>
      <w:tr w:rsidR="00FD7527" w:rsidRPr="00B00E6B" w:rsidTr="00732DD0">
        <w:trPr>
          <w:trHeight w:val="285"/>
        </w:trPr>
        <w:tc>
          <w:tcPr>
            <w:tcW w:w="1999" w:type="dxa"/>
            <w:tcBorders>
              <w:top w:val="nil"/>
              <w:left w:val="nil"/>
              <w:bottom w:val="nil"/>
              <w:right w:val="nil"/>
            </w:tcBorders>
            <w:shd w:val="clear" w:color="auto" w:fill="auto"/>
            <w:noWrap/>
            <w:vAlign w:val="center"/>
            <w:hideMark/>
          </w:tcPr>
          <w:p w:rsidR="00670D83" w:rsidRDefault="00FF17D2">
            <w:pPr>
              <w:pStyle w:val="MDPI42tablebody"/>
              <w:rPr>
                <w:b w:val="0"/>
              </w:rPr>
            </w:pPr>
            <w:r w:rsidRPr="00FF17D2">
              <w:rPr>
                <w:b w:val="0"/>
              </w:rPr>
              <w:t>Vitamin E (mg)</w:t>
            </w:r>
          </w:p>
        </w:tc>
        <w:tc>
          <w:tcPr>
            <w:tcW w:w="1174"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128,37</w:t>
            </w:r>
          </w:p>
        </w:tc>
        <w:tc>
          <w:tcPr>
            <w:tcW w:w="1033"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182</w:t>
            </w:r>
          </w:p>
        </w:tc>
        <w:tc>
          <w:tcPr>
            <w:tcW w:w="851"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70,53</w:t>
            </w:r>
          </w:p>
        </w:tc>
        <w:tc>
          <w:tcPr>
            <w:tcW w:w="992" w:type="dxa"/>
            <w:tcBorders>
              <w:top w:val="nil"/>
              <w:left w:val="nil"/>
              <w:bottom w:val="nil"/>
              <w:right w:val="single" w:sz="4" w:space="0" w:color="auto"/>
            </w:tcBorders>
            <w:shd w:val="clear" w:color="auto" w:fill="auto"/>
            <w:noWrap/>
            <w:vAlign w:val="bottom"/>
            <w:hideMark/>
          </w:tcPr>
          <w:p w:rsidR="00670D83" w:rsidRDefault="00FF17D2">
            <w:pPr>
              <w:pStyle w:val="MDPI42tablebody"/>
              <w:rPr>
                <w:b w:val="0"/>
              </w:rPr>
            </w:pPr>
            <w:r w:rsidRPr="00FF17D2">
              <w:rPr>
                <w:b w:val="0"/>
              </w:rPr>
              <w:t>70,53</w:t>
            </w:r>
          </w:p>
        </w:tc>
        <w:tc>
          <w:tcPr>
            <w:tcW w:w="1038" w:type="dxa"/>
            <w:tcBorders>
              <w:top w:val="nil"/>
              <w:left w:val="single" w:sz="4" w:space="0" w:color="auto"/>
              <w:bottom w:val="nil"/>
              <w:right w:val="nil"/>
            </w:tcBorders>
            <w:shd w:val="clear" w:color="auto" w:fill="auto"/>
            <w:noWrap/>
            <w:vAlign w:val="bottom"/>
            <w:hideMark/>
          </w:tcPr>
          <w:p w:rsidR="00670D83" w:rsidRDefault="00FF17D2">
            <w:pPr>
              <w:pStyle w:val="MDPI42tablebody"/>
              <w:rPr>
                <w:b w:val="0"/>
              </w:rPr>
            </w:pPr>
            <w:r w:rsidRPr="00FF17D2">
              <w:rPr>
                <w:b w:val="0"/>
              </w:rPr>
              <w:t>17,26</w:t>
            </w:r>
          </w:p>
        </w:tc>
        <w:tc>
          <w:tcPr>
            <w:tcW w:w="1105" w:type="dxa"/>
            <w:tcBorders>
              <w:top w:val="nil"/>
              <w:left w:val="nil"/>
              <w:bottom w:val="nil"/>
              <w:right w:val="nil"/>
            </w:tcBorders>
            <w:vAlign w:val="bottom"/>
          </w:tcPr>
          <w:p w:rsidR="00670D83" w:rsidRDefault="00FF17D2">
            <w:pPr>
              <w:pStyle w:val="MDPI42tablebody"/>
              <w:rPr>
                <w:b w:val="0"/>
              </w:rPr>
            </w:pPr>
            <w:r w:rsidRPr="00FF17D2">
              <w:rPr>
                <w:b w:val="0"/>
              </w:rPr>
              <w:t>9,1</w:t>
            </w:r>
          </w:p>
        </w:tc>
        <w:tc>
          <w:tcPr>
            <w:tcW w:w="755"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189,72</w:t>
            </w:r>
          </w:p>
        </w:tc>
        <w:tc>
          <w:tcPr>
            <w:tcW w:w="1190"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100</w:t>
            </w:r>
          </w:p>
        </w:tc>
      </w:tr>
      <w:tr w:rsidR="00FD7527" w:rsidRPr="00B00E6B" w:rsidTr="00732DD0">
        <w:trPr>
          <w:trHeight w:val="285"/>
        </w:trPr>
        <w:tc>
          <w:tcPr>
            <w:tcW w:w="1999" w:type="dxa"/>
            <w:tcBorders>
              <w:top w:val="nil"/>
              <w:left w:val="nil"/>
              <w:bottom w:val="nil"/>
              <w:right w:val="nil"/>
            </w:tcBorders>
            <w:shd w:val="clear" w:color="auto" w:fill="auto"/>
            <w:noWrap/>
            <w:vAlign w:val="center"/>
            <w:hideMark/>
          </w:tcPr>
          <w:p w:rsidR="00670D83" w:rsidRDefault="00FF17D2">
            <w:pPr>
              <w:pStyle w:val="MDPI42tablebody"/>
              <w:rPr>
                <w:b w:val="0"/>
              </w:rPr>
            </w:pPr>
            <w:r w:rsidRPr="00FF17D2">
              <w:rPr>
                <w:b w:val="0"/>
              </w:rPr>
              <w:t xml:space="preserve">Vitamin A (µg) </w:t>
            </w:r>
          </w:p>
        </w:tc>
        <w:tc>
          <w:tcPr>
            <w:tcW w:w="1174"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6942,86</w:t>
            </w:r>
          </w:p>
        </w:tc>
        <w:tc>
          <w:tcPr>
            <w:tcW w:w="1033"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10020</w:t>
            </w:r>
          </w:p>
        </w:tc>
        <w:tc>
          <w:tcPr>
            <w:tcW w:w="851"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69,29</w:t>
            </w:r>
          </w:p>
        </w:tc>
        <w:tc>
          <w:tcPr>
            <w:tcW w:w="992" w:type="dxa"/>
            <w:tcBorders>
              <w:top w:val="nil"/>
              <w:left w:val="nil"/>
              <w:bottom w:val="nil"/>
              <w:right w:val="single" w:sz="4" w:space="0" w:color="auto"/>
            </w:tcBorders>
            <w:shd w:val="clear" w:color="auto" w:fill="auto"/>
            <w:noWrap/>
            <w:vAlign w:val="bottom"/>
            <w:hideMark/>
          </w:tcPr>
          <w:p w:rsidR="00670D83" w:rsidRDefault="00FF17D2">
            <w:pPr>
              <w:pStyle w:val="MDPI42tablebody"/>
              <w:rPr>
                <w:b w:val="0"/>
              </w:rPr>
            </w:pPr>
            <w:r w:rsidRPr="00FF17D2">
              <w:rPr>
                <w:b w:val="0"/>
              </w:rPr>
              <w:t>69,29</w:t>
            </w:r>
          </w:p>
        </w:tc>
        <w:tc>
          <w:tcPr>
            <w:tcW w:w="1038" w:type="dxa"/>
            <w:tcBorders>
              <w:top w:val="nil"/>
              <w:left w:val="single" w:sz="4" w:space="0" w:color="auto"/>
              <w:bottom w:val="nil"/>
              <w:right w:val="nil"/>
            </w:tcBorders>
            <w:shd w:val="clear" w:color="auto" w:fill="auto"/>
            <w:noWrap/>
            <w:vAlign w:val="bottom"/>
            <w:hideMark/>
          </w:tcPr>
          <w:p w:rsidR="00670D83" w:rsidRDefault="00FF17D2">
            <w:pPr>
              <w:pStyle w:val="MDPI42tablebody"/>
              <w:rPr>
                <w:b w:val="0"/>
              </w:rPr>
            </w:pPr>
            <w:r w:rsidRPr="00FF17D2">
              <w:rPr>
                <w:b w:val="0"/>
              </w:rPr>
              <w:t>933,74</w:t>
            </w:r>
          </w:p>
        </w:tc>
        <w:tc>
          <w:tcPr>
            <w:tcW w:w="1105" w:type="dxa"/>
            <w:tcBorders>
              <w:top w:val="nil"/>
              <w:left w:val="nil"/>
              <w:bottom w:val="nil"/>
              <w:right w:val="nil"/>
            </w:tcBorders>
            <w:vAlign w:val="bottom"/>
          </w:tcPr>
          <w:p w:rsidR="00670D83" w:rsidRDefault="00FF17D2">
            <w:pPr>
              <w:pStyle w:val="MDPI42tablebody"/>
              <w:rPr>
                <w:b w:val="0"/>
              </w:rPr>
            </w:pPr>
            <w:r w:rsidRPr="00FF17D2">
              <w:rPr>
                <w:b w:val="0"/>
              </w:rPr>
              <w:t>501</w:t>
            </w:r>
          </w:p>
        </w:tc>
        <w:tc>
          <w:tcPr>
            <w:tcW w:w="755"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186,38</w:t>
            </w:r>
          </w:p>
        </w:tc>
        <w:tc>
          <w:tcPr>
            <w:tcW w:w="1190"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100</w:t>
            </w:r>
          </w:p>
        </w:tc>
      </w:tr>
      <w:tr w:rsidR="00FD7527" w:rsidRPr="00B00E6B" w:rsidTr="00732DD0">
        <w:trPr>
          <w:trHeight w:val="285"/>
        </w:trPr>
        <w:tc>
          <w:tcPr>
            <w:tcW w:w="1999" w:type="dxa"/>
            <w:tcBorders>
              <w:top w:val="nil"/>
              <w:left w:val="nil"/>
              <w:bottom w:val="nil"/>
              <w:right w:val="nil"/>
            </w:tcBorders>
            <w:shd w:val="clear" w:color="auto" w:fill="auto"/>
            <w:noWrap/>
            <w:vAlign w:val="center"/>
            <w:hideMark/>
          </w:tcPr>
          <w:p w:rsidR="00670D83" w:rsidRDefault="00FF17D2">
            <w:pPr>
              <w:pStyle w:val="MDPI42tablebody"/>
              <w:rPr>
                <w:b w:val="0"/>
              </w:rPr>
            </w:pPr>
            <w:r w:rsidRPr="00FF17D2">
              <w:rPr>
                <w:b w:val="0"/>
              </w:rPr>
              <w:t xml:space="preserve">Calcium (mg) </w:t>
            </w:r>
          </w:p>
        </w:tc>
        <w:tc>
          <w:tcPr>
            <w:tcW w:w="1174"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6067,86</w:t>
            </w:r>
          </w:p>
        </w:tc>
        <w:tc>
          <w:tcPr>
            <w:tcW w:w="1033"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18480</w:t>
            </w:r>
          </w:p>
        </w:tc>
        <w:tc>
          <w:tcPr>
            <w:tcW w:w="851"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32,83</w:t>
            </w:r>
          </w:p>
        </w:tc>
        <w:tc>
          <w:tcPr>
            <w:tcW w:w="992" w:type="dxa"/>
            <w:tcBorders>
              <w:top w:val="nil"/>
              <w:left w:val="nil"/>
              <w:bottom w:val="nil"/>
              <w:right w:val="single" w:sz="4" w:space="0" w:color="auto"/>
            </w:tcBorders>
            <w:shd w:val="clear" w:color="auto" w:fill="auto"/>
            <w:noWrap/>
            <w:vAlign w:val="bottom"/>
            <w:hideMark/>
          </w:tcPr>
          <w:p w:rsidR="00670D83" w:rsidRDefault="00FF17D2">
            <w:pPr>
              <w:pStyle w:val="MDPI42tablebody"/>
              <w:rPr>
                <w:b w:val="0"/>
              </w:rPr>
            </w:pPr>
            <w:r w:rsidRPr="00FF17D2">
              <w:rPr>
                <w:b w:val="0"/>
              </w:rPr>
              <w:t>32,83</w:t>
            </w:r>
          </w:p>
        </w:tc>
        <w:tc>
          <w:tcPr>
            <w:tcW w:w="1038" w:type="dxa"/>
            <w:tcBorders>
              <w:top w:val="nil"/>
              <w:left w:val="single" w:sz="4" w:space="0" w:color="auto"/>
              <w:bottom w:val="nil"/>
              <w:right w:val="nil"/>
            </w:tcBorders>
            <w:shd w:val="clear" w:color="auto" w:fill="auto"/>
            <w:noWrap/>
            <w:vAlign w:val="bottom"/>
            <w:hideMark/>
          </w:tcPr>
          <w:p w:rsidR="00670D83" w:rsidRDefault="00FF17D2">
            <w:pPr>
              <w:pStyle w:val="MDPI42tablebody"/>
              <w:rPr>
                <w:b w:val="0"/>
              </w:rPr>
            </w:pPr>
            <w:r w:rsidRPr="00FF17D2">
              <w:rPr>
                <w:b w:val="0"/>
              </w:rPr>
              <w:t>816,06</w:t>
            </w:r>
          </w:p>
        </w:tc>
        <w:tc>
          <w:tcPr>
            <w:tcW w:w="1105" w:type="dxa"/>
            <w:tcBorders>
              <w:top w:val="nil"/>
              <w:left w:val="nil"/>
              <w:bottom w:val="nil"/>
              <w:right w:val="nil"/>
            </w:tcBorders>
            <w:vAlign w:val="bottom"/>
          </w:tcPr>
          <w:p w:rsidR="00670D83" w:rsidRDefault="00FF17D2">
            <w:pPr>
              <w:pStyle w:val="MDPI42tablebody"/>
              <w:rPr>
                <w:b w:val="0"/>
              </w:rPr>
            </w:pPr>
            <w:r w:rsidRPr="00FF17D2">
              <w:rPr>
                <w:b w:val="0"/>
              </w:rPr>
              <w:t>924</w:t>
            </w:r>
          </w:p>
        </w:tc>
        <w:tc>
          <w:tcPr>
            <w:tcW w:w="755"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88,32</w:t>
            </w:r>
          </w:p>
        </w:tc>
        <w:tc>
          <w:tcPr>
            <w:tcW w:w="1190"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88,32</w:t>
            </w:r>
          </w:p>
        </w:tc>
      </w:tr>
      <w:tr w:rsidR="00FD7527" w:rsidRPr="00B00E6B" w:rsidTr="00732DD0">
        <w:trPr>
          <w:trHeight w:val="285"/>
        </w:trPr>
        <w:tc>
          <w:tcPr>
            <w:tcW w:w="1999" w:type="dxa"/>
            <w:tcBorders>
              <w:top w:val="nil"/>
              <w:left w:val="nil"/>
              <w:bottom w:val="nil"/>
              <w:right w:val="nil"/>
            </w:tcBorders>
            <w:shd w:val="clear" w:color="auto" w:fill="auto"/>
            <w:noWrap/>
            <w:vAlign w:val="center"/>
            <w:hideMark/>
          </w:tcPr>
          <w:p w:rsidR="00670D83" w:rsidRDefault="00FF17D2">
            <w:pPr>
              <w:pStyle w:val="MDPI42tablebody"/>
              <w:rPr>
                <w:b w:val="0"/>
              </w:rPr>
            </w:pPr>
            <w:r w:rsidRPr="00FF17D2">
              <w:rPr>
                <w:b w:val="0"/>
              </w:rPr>
              <w:t>Potassium (mg)</w:t>
            </w:r>
          </w:p>
        </w:tc>
        <w:tc>
          <w:tcPr>
            <w:tcW w:w="1174"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19425,11</w:t>
            </w:r>
          </w:p>
        </w:tc>
        <w:tc>
          <w:tcPr>
            <w:tcW w:w="1033"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57840</w:t>
            </w:r>
          </w:p>
        </w:tc>
        <w:tc>
          <w:tcPr>
            <w:tcW w:w="851"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33,58</w:t>
            </w:r>
          </w:p>
        </w:tc>
        <w:tc>
          <w:tcPr>
            <w:tcW w:w="992" w:type="dxa"/>
            <w:tcBorders>
              <w:top w:val="nil"/>
              <w:left w:val="nil"/>
              <w:bottom w:val="nil"/>
              <w:right w:val="single" w:sz="4" w:space="0" w:color="auto"/>
            </w:tcBorders>
            <w:shd w:val="clear" w:color="auto" w:fill="auto"/>
            <w:noWrap/>
            <w:vAlign w:val="bottom"/>
            <w:hideMark/>
          </w:tcPr>
          <w:p w:rsidR="00670D83" w:rsidRDefault="00FF17D2">
            <w:pPr>
              <w:pStyle w:val="MDPI42tablebody"/>
              <w:rPr>
                <w:b w:val="0"/>
              </w:rPr>
            </w:pPr>
            <w:r w:rsidRPr="00FF17D2">
              <w:rPr>
                <w:b w:val="0"/>
              </w:rPr>
              <w:t>33,58</w:t>
            </w:r>
          </w:p>
        </w:tc>
        <w:tc>
          <w:tcPr>
            <w:tcW w:w="1038" w:type="dxa"/>
            <w:tcBorders>
              <w:top w:val="nil"/>
              <w:left w:val="single" w:sz="4" w:space="0" w:color="auto"/>
              <w:bottom w:val="nil"/>
              <w:right w:val="nil"/>
            </w:tcBorders>
            <w:shd w:val="clear" w:color="auto" w:fill="auto"/>
            <w:noWrap/>
            <w:vAlign w:val="bottom"/>
            <w:hideMark/>
          </w:tcPr>
          <w:p w:rsidR="00670D83" w:rsidRDefault="00FF17D2">
            <w:pPr>
              <w:pStyle w:val="MDPI42tablebody"/>
              <w:rPr>
                <w:b w:val="0"/>
              </w:rPr>
            </w:pPr>
            <w:r w:rsidRPr="00FF17D2">
              <w:rPr>
                <w:b w:val="0"/>
              </w:rPr>
              <w:t>2612,48</w:t>
            </w:r>
          </w:p>
        </w:tc>
        <w:tc>
          <w:tcPr>
            <w:tcW w:w="1105" w:type="dxa"/>
            <w:tcBorders>
              <w:top w:val="nil"/>
              <w:left w:val="nil"/>
              <w:bottom w:val="nil"/>
              <w:right w:val="nil"/>
            </w:tcBorders>
            <w:vAlign w:val="bottom"/>
          </w:tcPr>
          <w:p w:rsidR="00670D83" w:rsidRDefault="00FF17D2">
            <w:pPr>
              <w:pStyle w:val="MDPI42tablebody"/>
              <w:rPr>
                <w:b w:val="0"/>
              </w:rPr>
            </w:pPr>
            <w:r w:rsidRPr="00FF17D2">
              <w:rPr>
                <w:b w:val="0"/>
              </w:rPr>
              <w:t>2892</w:t>
            </w:r>
          </w:p>
        </w:tc>
        <w:tc>
          <w:tcPr>
            <w:tcW w:w="755"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90,33</w:t>
            </w:r>
          </w:p>
        </w:tc>
        <w:tc>
          <w:tcPr>
            <w:tcW w:w="1190"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90,33</w:t>
            </w:r>
          </w:p>
        </w:tc>
      </w:tr>
      <w:tr w:rsidR="00FD7527" w:rsidRPr="00B00E6B" w:rsidTr="00732DD0">
        <w:trPr>
          <w:trHeight w:val="285"/>
        </w:trPr>
        <w:tc>
          <w:tcPr>
            <w:tcW w:w="1999" w:type="dxa"/>
            <w:tcBorders>
              <w:top w:val="nil"/>
              <w:left w:val="nil"/>
              <w:bottom w:val="nil"/>
              <w:right w:val="nil"/>
            </w:tcBorders>
            <w:shd w:val="clear" w:color="auto" w:fill="auto"/>
            <w:noWrap/>
            <w:vAlign w:val="center"/>
            <w:hideMark/>
          </w:tcPr>
          <w:p w:rsidR="00670D83" w:rsidRDefault="00FF17D2">
            <w:pPr>
              <w:pStyle w:val="MDPI42tablebody"/>
              <w:rPr>
                <w:b w:val="0"/>
              </w:rPr>
            </w:pPr>
            <w:r w:rsidRPr="00FF17D2">
              <w:rPr>
                <w:b w:val="0"/>
              </w:rPr>
              <w:t xml:space="preserve">Iron (mg) </w:t>
            </w:r>
          </w:p>
        </w:tc>
        <w:tc>
          <w:tcPr>
            <w:tcW w:w="1174"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73,00</w:t>
            </w:r>
          </w:p>
        </w:tc>
        <w:tc>
          <w:tcPr>
            <w:tcW w:w="1033"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164</w:t>
            </w:r>
          </w:p>
        </w:tc>
        <w:tc>
          <w:tcPr>
            <w:tcW w:w="851"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44,51</w:t>
            </w:r>
          </w:p>
        </w:tc>
        <w:tc>
          <w:tcPr>
            <w:tcW w:w="992" w:type="dxa"/>
            <w:tcBorders>
              <w:top w:val="nil"/>
              <w:left w:val="nil"/>
              <w:bottom w:val="nil"/>
              <w:right w:val="single" w:sz="4" w:space="0" w:color="auto"/>
            </w:tcBorders>
            <w:shd w:val="clear" w:color="auto" w:fill="auto"/>
            <w:noWrap/>
            <w:vAlign w:val="bottom"/>
            <w:hideMark/>
          </w:tcPr>
          <w:p w:rsidR="00670D83" w:rsidRDefault="00FF17D2">
            <w:pPr>
              <w:pStyle w:val="MDPI42tablebody"/>
              <w:rPr>
                <w:b w:val="0"/>
              </w:rPr>
            </w:pPr>
            <w:r w:rsidRPr="00FF17D2">
              <w:rPr>
                <w:b w:val="0"/>
              </w:rPr>
              <w:t>44,51</w:t>
            </w:r>
          </w:p>
        </w:tc>
        <w:tc>
          <w:tcPr>
            <w:tcW w:w="1038" w:type="dxa"/>
            <w:tcBorders>
              <w:top w:val="nil"/>
              <w:left w:val="single" w:sz="4" w:space="0" w:color="auto"/>
              <w:bottom w:val="nil"/>
              <w:right w:val="nil"/>
            </w:tcBorders>
            <w:shd w:val="clear" w:color="auto" w:fill="auto"/>
            <w:noWrap/>
            <w:vAlign w:val="bottom"/>
            <w:hideMark/>
          </w:tcPr>
          <w:p w:rsidR="00670D83" w:rsidRDefault="00FF17D2">
            <w:pPr>
              <w:pStyle w:val="MDPI42tablebody"/>
              <w:rPr>
                <w:b w:val="0"/>
              </w:rPr>
            </w:pPr>
            <w:r w:rsidRPr="00FF17D2">
              <w:rPr>
                <w:b w:val="0"/>
              </w:rPr>
              <w:t>9,82</w:t>
            </w:r>
          </w:p>
        </w:tc>
        <w:tc>
          <w:tcPr>
            <w:tcW w:w="1105" w:type="dxa"/>
            <w:tcBorders>
              <w:top w:val="nil"/>
              <w:left w:val="nil"/>
              <w:bottom w:val="nil"/>
              <w:right w:val="nil"/>
            </w:tcBorders>
            <w:vAlign w:val="bottom"/>
          </w:tcPr>
          <w:p w:rsidR="00670D83" w:rsidRDefault="00FF17D2">
            <w:pPr>
              <w:pStyle w:val="MDPI42tablebody"/>
              <w:rPr>
                <w:b w:val="0"/>
              </w:rPr>
            </w:pPr>
            <w:r w:rsidRPr="00FF17D2">
              <w:rPr>
                <w:b w:val="0"/>
              </w:rPr>
              <w:t>8,2</w:t>
            </w:r>
          </w:p>
        </w:tc>
        <w:tc>
          <w:tcPr>
            <w:tcW w:w="755"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119,73</w:t>
            </w:r>
          </w:p>
        </w:tc>
        <w:tc>
          <w:tcPr>
            <w:tcW w:w="1190"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100</w:t>
            </w:r>
          </w:p>
        </w:tc>
      </w:tr>
      <w:tr w:rsidR="00FD7527" w:rsidRPr="00B00E6B" w:rsidTr="00732DD0">
        <w:trPr>
          <w:trHeight w:val="285"/>
        </w:trPr>
        <w:tc>
          <w:tcPr>
            <w:tcW w:w="1999" w:type="dxa"/>
            <w:tcBorders>
              <w:top w:val="nil"/>
              <w:left w:val="nil"/>
              <w:bottom w:val="nil"/>
              <w:right w:val="nil"/>
            </w:tcBorders>
            <w:shd w:val="clear" w:color="auto" w:fill="auto"/>
            <w:noWrap/>
            <w:vAlign w:val="center"/>
            <w:hideMark/>
          </w:tcPr>
          <w:p w:rsidR="00670D83" w:rsidRDefault="00FF17D2">
            <w:pPr>
              <w:pStyle w:val="MDPI42tablebody"/>
              <w:rPr>
                <w:b w:val="0"/>
              </w:rPr>
            </w:pPr>
            <w:r w:rsidRPr="00FF17D2">
              <w:rPr>
                <w:b w:val="0"/>
              </w:rPr>
              <w:t xml:space="preserve">Magnesium (mg) </w:t>
            </w:r>
          </w:p>
        </w:tc>
        <w:tc>
          <w:tcPr>
            <w:tcW w:w="1174"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1944,72</w:t>
            </w:r>
          </w:p>
        </w:tc>
        <w:tc>
          <w:tcPr>
            <w:tcW w:w="1033"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4060</w:t>
            </w:r>
          </w:p>
        </w:tc>
        <w:tc>
          <w:tcPr>
            <w:tcW w:w="851"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47,90</w:t>
            </w:r>
          </w:p>
        </w:tc>
        <w:tc>
          <w:tcPr>
            <w:tcW w:w="992" w:type="dxa"/>
            <w:tcBorders>
              <w:top w:val="nil"/>
              <w:left w:val="nil"/>
              <w:bottom w:val="nil"/>
              <w:right w:val="single" w:sz="4" w:space="0" w:color="auto"/>
            </w:tcBorders>
            <w:shd w:val="clear" w:color="auto" w:fill="auto"/>
            <w:noWrap/>
            <w:vAlign w:val="bottom"/>
            <w:hideMark/>
          </w:tcPr>
          <w:p w:rsidR="00670D83" w:rsidRDefault="00FF17D2">
            <w:pPr>
              <w:pStyle w:val="MDPI42tablebody"/>
              <w:rPr>
                <w:b w:val="0"/>
              </w:rPr>
            </w:pPr>
            <w:r w:rsidRPr="00FF17D2">
              <w:rPr>
                <w:b w:val="0"/>
              </w:rPr>
              <w:t>47,90</w:t>
            </w:r>
          </w:p>
        </w:tc>
        <w:tc>
          <w:tcPr>
            <w:tcW w:w="1038" w:type="dxa"/>
            <w:tcBorders>
              <w:top w:val="nil"/>
              <w:left w:val="single" w:sz="4" w:space="0" w:color="auto"/>
              <w:bottom w:val="nil"/>
              <w:right w:val="nil"/>
            </w:tcBorders>
            <w:shd w:val="clear" w:color="auto" w:fill="auto"/>
            <w:noWrap/>
            <w:vAlign w:val="bottom"/>
            <w:hideMark/>
          </w:tcPr>
          <w:p w:rsidR="00670D83" w:rsidRDefault="00FF17D2">
            <w:pPr>
              <w:pStyle w:val="MDPI42tablebody"/>
              <w:rPr>
                <w:b w:val="0"/>
              </w:rPr>
            </w:pPr>
            <w:r w:rsidRPr="00FF17D2">
              <w:rPr>
                <w:b w:val="0"/>
              </w:rPr>
              <w:t>261,54</w:t>
            </w:r>
          </w:p>
        </w:tc>
        <w:tc>
          <w:tcPr>
            <w:tcW w:w="1105" w:type="dxa"/>
            <w:tcBorders>
              <w:top w:val="nil"/>
              <w:left w:val="nil"/>
              <w:bottom w:val="nil"/>
              <w:right w:val="nil"/>
            </w:tcBorders>
            <w:vAlign w:val="bottom"/>
          </w:tcPr>
          <w:p w:rsidR="00670D83" w:rsidRDefault="00FF17D2">
            <w:pPr>
              <w:pStyle w:val="MDPI42tablebody"/>
              <w:rPr>
                <w:b w:val="0"/>
              </w:rPr>
            </w:pPr>
            <w:r w:rsidRPr="00FF17D2">
              <w:rPr>
                <w:b w:val="0"/>
              </w:rPr>
              <w:t>203</w:t>
            </w:r>
          </w:p>
        </w:tc>
        <w:tc>
          <w:tcPr>
            <w:tcW w:w="755"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128,84</w:t>
            </w:r>
          </w:p>
        </w:tc>
        <w:tc>
          <w:tcPr>
            <w:tcW w:w="1190"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100</w:t>
            </w:r>
          </w:p>
        </w:tc>
      </w:tr>
      <w:tr w:rsidR="00FD7527" w:rsidRPr="00B00E6B" w:rsidTr="00732DD0">
        <w:trPr>
          <w:trHeight w:val="285"/>
        </w:trPr>
        <w:tc>
          <w:tcPr>
            <w:tcW w:w="1999" w:type="dxa"/>
            <w:tcBorders>
              <w:top w:val="nil"/>
              <w:left w:val="nil"/>
              <w:bottom w:val="nil"/>
              <w:right w:val="nil"/>
            </w:tcBorders>
            <w:shd w:val="clear" w:color="auto" w:fill="auto"/>
            <w:noWrap/>
            <w:vAlign w:val="center"/>
            <w:hideMark/>
          </w:tcPr>
          <w:p w:rsidR="00670D83" w:rsidRDefault="00FF17D2">
            <w:pPr>
              <w:pStyle w:val="MDPI42tablebody"/>
              <w:rPr>
                <w:b w:val="0"/>
              </w:rPr>
            </w:pPr>
            <w:r w:rsidRPr="00FF17D2">
              <w:rPr>
                <w:b w:val="0"/>
              </w:rPr>
              <w:t xml:space="preserve">Zinc (mg) </w:t>
            </w:r>
          </w:p>
        </w:tc>
        <w:tc>
          <w:tcPr>
            <w:tcW w:w="1174"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73,85</w:t>
            </w:r>
          </w:p>
        </w:tc>
        <w:tc>
          <w:tcPr>
            <w:tcW w:w="1033"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184</w:t>
            </w:r>
          </w:p>
        </w:tc>
        <w:tc>
          <w:tcPr>
            <w:tcW w:w="851"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40,14</w:t>
            </w:r>
          </w:p>
        </w:tc>
        <w:tc>
          <w:tcPr>
            <w:tcW w:w="992" w:type="dxa"/>
            <w:tcBorders>
              <w:top w:val="nil"/>
              <w:left w:val="nil"/>
              <w:bottom w:val="nil"/>
              <w:right w:val="single" w:sz="4" w:space="0" w:color="auto"/>
            </w:tcBorders>
            <w:shd w:val="clear" w:color="auto" w:fill="auto"/>
            <w:noWrap/>
            <w:vAlign w:val="bottom"/>
            <w:hideMark/>
          </w:tcPr>
          <w:p w:rsidR="00670D83" w:rsidRDefault="00FF17D2">
            <w:pPr>
              <w:pStyle w:val="MDPI42tablebody"/>
              <w:rPr>
                <w:b w:val="0"/>
              </w:rPr>
            </w:pPr>
            <w:r w:rsidRPr="00FF17D2">
              <w:rPr>
                <w:b w:val="0"/>
              </w:rPr>
              <w:t>40,14</w:t>
            </w:r>
          </w:p>
        </w:tc>
        <w:tc>
          <w:tcPr>
            <w:tcW w:w="1038" w:type="dxa"/>
            <w:tcBorders>
              <w:top w:val="nil"/>
              <w:left w:val="single" w:sz="4" w:space="0" w:color="auto"/>
              <w:bottom w:val="nil"/>
              <w:right w:val="nil"/>
            </w:tcBorders>
            <w:shd w:val="clear" w:color="auto" w:fill="auto"/>
            <w:noWrap/>
            <w:vAlign w:val="bottom"/>
            <w:hideMark/>
          </w:tcPr>
          <w:p w:rsidR="00670D83" w:rsidRDefault="00FF17D2">
            <w:pPr>
              <w:pStyle w:val="MDPI42tablebody"/>
              <w:rPr>
                <w:b w:val="0"/>
              </w:rPr>
            </w:pPr>
            <w:r w:rsidRPr="00FF17D2">
              <w:rPr>
                <w:b w:val="0"/>
              </w:rPr>
              <w:t>9,93</w:t>
            </w:r>
          </w:p>
        </w:tc>
        <w:tc>
          <w:tcPr>
            <w:tcW w:w="1105" w:type="dxa"/>
            <w:tcBorders>
              <w:top w:val="nil"/>
              <w:left w:val="nil"/>
              <w:bottom w:val="nil"/>
              <w:right w:val="nil"/>
            </w:tcBorders>
            <w:vAlign w:val="bottom"/>
          </w:tcPr>
          <w:p w:rsidR="00670D83" w:rsidRDefault="00FF17D2">
            <w:pPr>
              <w:pStyle w:val="MDPI42tablebody"/>
              <w:rPr>
                <w:b w:val="0"/>
              </w:rPr>
            </w:pPr>
            <w:r w:rsidRPr="00FF17D2">
              <w:rPr>
                <w:b w:val="0"/>
              </w:rPr>
              <w:t>9,2</w:t>
            </w:r>
          </w:p>
        </w:tc>
        <w:tc>
          <w:tcPr>
            <w:tcW w:w="755"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107,96</w:t>
            </w:r>
          </w:p>
        </w:tc>
        <w:tc>
          <w:tcPr>
            <w:tcW w:w="1190"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100</w:t>
            </w:r>
          </w:p>
        </w:tc>
      </w:tr>
      <w:tr w:rsidR="00FD7527" w:rsidRPr="00B00E6B" w:rsidTr="00732DD0">
        <w:trPr>
          <w:trHeight w:val="285"/>
        </w:trPr>
        <w:tc>
          <w:tcPr>
            <w:tcW w:w="1999" w:type="dxa"/>
            <w:tcBorders>
              <w:top w:val="nil"/>
              <w:left w:val="nil"/>
              <w:bottom w:val="nil"/>
              <w:right w:val="nil"/>
            </w:tcBorders>
            <w:shd w:val="clear" w:color="auto" w:fill="auto"/>
            <w:noWrap/>
            <w:vAlign w:val="center"/>
            <w:hideMark/>
          </w:tcPr>
          <w:p w:rsidR="00670D83" w:rsidRDefault="00FF17D2">
            <w:pPr>
              <w:pStyle w:val="MDPI42tablebody"/>
              <w:rPr>
                <w:b w:val="0"/>
              </w:rPr>
            </w:pPr>
            <w:r w:rsidRPr="00FF17D2">
              <w:rPr>
                <w:b w:val="0"/>
              </w:rPr>
              <w:lastRenderedPageBreak/>
              <w:t>Copper (mg)</w:t>
            </w:r>
          </w:p>
        </w:tc>
        <w:tc>
          <w:tcPr>
            <w:tcW w:w="1174"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9,93</w:t>
            </w:r>
          </w:p>
        </w:tc>
        <w:tc>
          <w:tcPr>
            <w:tcW w:w="1033"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24</w:t>
            </w:r>
          </w:p>
        </w:tc>
        <w:tc>
          <w:tcPr>
            <w:tcW w:w="851"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41,39</w:t>
            </w:r>
          </w:p>
        </w:tc>
        <w:tc>
          <w:tcPr>
            <w:tcW w:w="992" w:type="dxa"/>
            <w:tcBorders>
              <w:top w:val="nil"/>
              <w:left w:val="nil"/>
              <w:bottom w:val="nil"/>
              <w:right w:val="single" w:sz="4" w:space="0" w:color="auto"/>
            </w:tcBorders>
            <w:shd w:val="clear" w:color="auto" w:fill="auto"/>
            <w:noWrap/>
            <w:vAlign w:val="bottom"/>
            <w:hideMark/>
          </w:tcPr>
          <w:p w:rsidR="00670D83" w:rsidRDefault="00FF17D2">
            <w:pPr>
              <w:pStyle w:val="MDPI42tablebody"/>
              <w:rPr>
                <w:b w:val="0"/>
              </w:rPr>
            </w:pPr>
            <w:r w:rsidRPr="00FF17D2">
              <w:rPr>
                <w:b w:val="0"/>
              </w:rPr>
              <w:t>41,39</w:t>
            </w:r>
          </w:p>
        </w:tc>
        <w:tc>
          <w:tcPr>
            <w:tcW w:w="1038" w:type="dxa"/>
            <w:tcBorders>
              <w:top w:val="nil"/>
              <w:left w:val="single" w:sz="4" w:space="0" w:color="auto"/>
              <w:bottom w:val="nil"/>
              <w:right w:val="nil"/>
            </w:tcBorders>
            <w:shd w:val="clear" w:color="auto" w:fill="auto"/>
            <w:noWrap/>
            <w:vAlign w:val="bottom"/>
            <w:hideMark/>
          </w:tcPr>
          <w:p w:rsidR="00670D83" w:rsidRDefault="00FF17D2">
            <w:pPr>
              <w:pStyle w:val="MDPI42tablebody"/>
              <w:rPr>
                <w:b w:val="0"/>
              </w:rPr>
            </w:pPr>
            <w:r w:rsidRPr="00FF17D2">
              <w:rPr>
                <w:b w:val="0"/>
              </w:rPr>
              <w:t>1,34</w:t>
            </w:r>
          </w:p>
        </w:tc>
        <w:tc>
          <w:tcPr>
            <w:tcW w:w="1105" w:type="dxa"/>
            <w:tcBorders>
              <w:top w:val="nil"/>
              <w:left w:val="nil"/>
              <w:bottom w:val="nil"/>
              <w:right w:val="nil"/>
            </w:tcBorders>
            <w:vAlign w:val="bottom"/>
          </w:tcPr>
          <w:p w:rsidR="00670D83" w:rsidRDefault="00FF17D2">
            <w:pPr>
              <w:pStyle w:val="MDPI42tablebody"/>
              <w:rPr>
                <w:b w:val="0"/>
              </w:rPr>
            </w:pPr>
            <w:r w:rsidRPr="00FF17D2">
              <w:rPr>
                <w:b w:val="0"/>
              </w:rPr>
              <w:t>1,2</w:t>
            </w:r>
          </w:p>
        </w:tc>
        <w:tc>
          <w:tcPr>
            <w:tcW w:w="755"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111,34</w:t>
            </w:r>
          </w:p>
        </w:tc>
        <w:tc>
          <w:tcPr>
            <w:tcW w:w="1190" w:type="dxa"/>
            <w:tcBorders>
              <w:top w:val="nil"/>
              <w:left w:val="nil"/>
              <w:bottom w:val="nil"/>
              <w:right w:val="nil"/>
            </w:tcBorders>
            <w:shd w:val="clear" w:color="auto" w:fill="auto"/>
            <w:noWrap/>
            <w:vAlign w:val="bottom"/>
            <w:hideMark/>
          </w:tcPr>
          <w:p w:rsidR="00670D83" w:rsidRDefault="00FF17D2">
            <w:pPr>
              <w:pStyle w:val="MDPI42tablebody"/>
              <w:rPr>
                <w:b w:val="0"/>
              </w:rPr>
            </w:pPr>
            <w:r w:rsidRPr="00FF17D2">
              <w:rPr>
                <w:b w:val="0"/>
              </w:rPr>
              <w:t>100</w:t>
            </w:r>
          </w:p>
        </w:tc>
      </w:tr>
      <w:tr w:rsidR="00FD7527" w:rsidRPr="00B00E6B" w:rsidTr="00732DD0">
        <w:trPr>
          <w:trHeight w:val="285"/>
        </w:trPr>
        <w:tc>
          <w:tcPr>
            <w:tcW w:w="1999" w:type="dxa"/>
            <w:tcBorders>
              <w:top w:val="nil"/>
              <w:left w:val="nil"/>
              <w:right w:val="nil"/>
            </w:tcBorders>
            <w:shd w:val="clear" w:color="auto" w:fill="auto"/>
            <w:noWrap/>
            <w:vAlign w:val="center"/>
            <w:hideMark/>
          </w:tcPr>
          <w:p w:rsidR="00670D83" w:rsidRDefault="00FF17D2">
            <w:pPr>
              <w:pStyle w:val="MDPI42tablebody"/>
              <w:rPr>
                <w:b w:val="0"/>
              </w:rPr>
            </w:pPr>
            <w:r w:rsidRPr="00FF17D2">
              <w:rPr>
                <w:b w:val="0"/>
              </w:rPr>
              <w:t xml:space="preserve">Iodine (µg) </w:t>
            </w:r>
          </w:p>
        </w:tc>
        <w:tc>
          <w:tcPr>
            <w:tcW w:w="1174" w:type="dxa"/>
            <w:tcBorders>
              <w:top w:val="nil"/>
              <w:left w:val="nil"/>
              <w:right w:val="nil"/>
            </w:tcBorders>
            <w:shd w:val="clear" w:color="auto" w:fill="auto"/>
            <w:noWrap/>
            <w:vAlign w:val="bottom"/>
            <w:hideMark/>
          </w:tcPr>
          <w:p w:rsidR="00670D83" w:rsidRDefault="00FF17D2">
            <w:pPr>
              <w:pStyle w:val="MDPI42tablebody"/>
              <w:rPr>
                <w:b w:val="0"/>
              </w:rPr>
            </w:pPr>
            <w:r w:rsidRPr="00FF17D2">
              <w:rPr>
                <w:b w:val="0"/>
              </w:rPr>
              <w:t>956,99</w:t>
            </w:r>
          </w:p>
        </w:tc>
        <w:tc>
          <w:tcPr>
            <w:tcW w:w="1033" w:type="dxa"/>
            <w:tcBorders>
              <w:top w:val="nil"/>
              <w:left w:val="nil"/>
              <w:right w:val="nil"/>
            </w:tcBorders>
            <w:shd w:val="clear" w:color="auto" w:fill="auto"/>
            <w:noWrap/>
            <w:vAlign w:val="bottom"/>
            <w:hideMark/>
          </w:tcPr>
          <w:p w:rsidR="00670D83" w:rsidRDefault="00FF17D2">
            <w:pPr>
              <w:pStyle w:val="MDPI42tablebody"/>
              <w:rPr>
                <w:b w:val="0"/>
              </w:rPr>
            </w:pPr>
            <w:r w:rsidRPr="00FF17D2">
              <w:rPr>
                <w:b w:val="0"/>
              </w:rPr>
              <w:t>2400</w:t>
            </w:r>
          </w:p>
        </w:tc>
        <w:tc>
          <w:tcPr>
            <w:tcW w:w="851" w:type="dxa"/>
            <w:tcBorders>
              <w:top w:val="nil"/>
              <w:left w:val="nil"/>
              <w:right w:val="nil"/>
            </w:tcBorders>
            <w:shd w:val="clear" w:color="auto" w:fill="auto"/>
            <w:noWrap/>
            <w:vAlign w:val="bottom"/>
            <w:hideMark/>
          </w:tcPr>
          <w:p w:rsidR="00670D83" w:rsidRDefault="00FF17D2">
            <w:pPr>
              <w:pStyle w:val="MDPI42tablebody"/>
              <w:rPr>
                <w:b w:val="0"/>
              </w:rPr>
            </w:pPr>
            <w:r w:rsidRPr="00FF17D2">
              <w:rPr>
                <w:b w:val="0"/>
              </w:rPr>
              <w:t>39,87</w:t>
            </w:r>
          </w:p>
        </w:tc>
        <w:tc>
          <w:tcPr>
            <w:tcW w:w="992" w:type="dxa"/>
            <w:tcBorders>
              <w:top w:val="nil"/>
              <w:left w:val="nil"/>
              <w:right w:val="single" w:sz="4" w:space="0" w:color="auto"/>
            </w:tcBorders>
            <w:shd w:val="clear" w:color="auto" w:fill="auto"/>
            <w:noWrap/>
            <w:vAlign w:val="bottom"/>
            <w:hideMark/>
          </w:tcPr>
          <w:p w:rsidR="00670D83" w:rsidRDefault="00FF17D2">
            <w:pPr>
              <w:pStyle w:val="MDPI42tablebody"/>
              <w:rPr>
                <w:b w:val="0"/>
              </w:rPr>
            </w:pPr>
            <w:r w:rsidRPr="00FF17D2">
              <w:rPr>
                <w:b w:val="0"/>
              </w:rPr>
              <w:t>39,87</w:t>
            </w:r>
          </w:p>
        </w:tc>
        <w:tc>
          <w:tcPr>
            <w:tcW w:w="1038" w:type="dxa"/>
            <w:tcBorders>
              <w:top w:val="nil"/>
              <w:left w:val="single" w:sz="4" w:space="0" w:color="auto"/>
              <w:right w:val="nil"/>
            </w:tcBorders>
            <w:shd w:val="clear" w:color="auto" w:fill="auto"/>
            <w:noWrap/>
            <w:vAlign w:val="bottom"/>
            <w:hideMark/>
          </w:tcPr>
          <w:p w:rsidR="00670D83" w:rsidRDefault="00FF17D2">
            <w:pPr>
              <w:pStyle w:val="MDPI42tablebody"/>
              <w:rPr>
                <w:b w:val="0"/>
              </w:rPr>
            </w:pPr>
            <w:r w:rsidRPr="00FF17D2">
              <w:rPr>
                <w:b w:val="0"/>
              </w:rPr>
              <w:t>128,71</w:t>
            </w:r>
          </w:p>
        </w:tc>
        <w:tc>
          <w:tcPr>
            <w:tcW w:w="1105" w:type="dxa"/>
            <w:tcBorders>
              <w:top w:val="nil"/>
              <w:left w:val="nil"/>
              <w:right w:val="nil"/>
            </w:tcBorders>
            <w:vAlign w:val="bottom"/>
          </w:tcPr>
          <w:p w:rsidR="00670D83" w:rsidRDefault="00FF17D2">
            <w:pPr>
              <w:pStyle w:val="MDPI42tablebody"/>
              <w:rPr>
                <w:b w:val="0"/>
              </w:rPr>
            </w:pPr>
            <w:r w:rsidRPr="00FF17D2">
              <w:rPr>
                <w:b w:val="0"/>
              </w:rPr>
              <w:t>120</w:t>
            </w:r>
          </w:p>
        </w:tc>
        <w:tc>
          <w:tcPr>
            <w:tcW w:w="755" w:type="dxa"/>
            <w:tcBorders>
              <w:top w:val="nil"/>
              <w:left w:val="nil"/>
              <w:right w:val="nil"/>
            </w:tcBorders>
            <w:shd w:val="clear" w:color="auto" w:fill="auto"/>
            <w:noWrap/>
            <w:vAlign w:val="bottom"/>
            <w:hideMark/>
          </w:tcPr>
          <w:p w:rsidR="00670D83" w:rsidRDefault="00FF17D2">
            <w:pPr>
              <w:pStyle w:val="MDPI42tablebody"/>
              <w:rPr>
                <w:b w:val="0"/>
              </w:rPr>
            </w:pPr>
            <w:r w:rsidRPr="00FF17D2">
              <w:rPr>
                <w:b w:val="0"/>
              </w:rPr>
              <w:t>107,25</w:t>
            </w:r>
          </w:p>
        </w:tc>
        <w:tc>
          <w:tcPr>
            <w:tcW w:w="1190" w:type="dxa"/>
            <w:tcBorders>
              <w:top w:val="nil"/>
              <w:left w:val="nil"/>
              <w:right w:val="nil"/>
            </w:tcBorders>
            <w:shd w:val="clear" w:color="auto" w:fill="auto"/>
            <w:noWrap/>
            <w:vAlign w:val="bottom"/>
            <w:hideMark/>
          </w:tcPr>
          <w:p w:rsidR="00670D83" w:rsidRDefault="00FF17D2">
            <w:pPr>
              <w:pStyle w:val="MDPI42tablebody"/>
              <w:rPr>
                <w:b w:val="0"/>
              </w:rPr>
            </w:pPr>
            <w:r w:rsidRPr="00FF17D2">
              <w:rPr>
                <w:b w:val="0"/>
              </w:rPr>
              <w:t>100</w:t>
            </w:r>
          </w:p>
        </w:tc>
      </w:tr>
      <w:tr w:rsidR="00FD7527" w:rsidRPr="00B00E6B" w:rsidTr="00732DD0">
        <w:trPr>
          <w:trHeight w:val="300"/>
        </w:trPr>
        <w:tc>
          <w:tcPr>
            <w:tcW w:w="1999" w:type="dxa"/>
            <w:tcBorders>
              <w:top w:val="nil"/>
              <w:left w:val="nil"/>
              <w:bottom w:val="single" w:sz="4" w:space="0" w:color="auto"/>
              <w:right w:val="nil"/>
            </w:tcBorders>
            <w:shd w:val="clear" w:color="auto" w:fill="auto"/>
            <w:noWrap/>
            <w:vAlign w:val="center"/>
            <w:hideMark/>
          </w:tcPr>
          <w:p w:rsidR="00670D83" w:rsidRDefault="00FF17D2">
            <w:pPr>
              <w:pStyle w:val="MDPI42tablebody"/>
              <w:rPr>
                <w:b w:val="0"/>
              </w:rPr>
            </w:pPr>
            <w:r w:rsidRPr="00FF17D2">
              <w:rPr>
                <w:b w:val="0"/>
              </w:rPr>
              <w:t xml:space="preserve">Selenium (µg) </w:t>
            </w:r>
          </w:p>
        </w:tc>
        <w:tc>
          <w:tcPr>
            <w:tcW w:w="1174" w:type="dxa"/>
            <w:tcBorders>
              <w:top w:val="nil"/>
              <w:left w:val="nil"/>
              <w:bottom w:val="single" w:sz="4" w:space="0" w:color="auto"/>
              <w:right w:val="nil"/>
            </w:tcBorders>
            <w:shd w:val="clear" w:color="auto" w:fill="auto"/>
            <w:noWrap/>
            <w:vAlign w:val="bottom"/>
            <w:hideMark/>
          </w:tcPr>
          <w:p w:rsidR="00670D83" w:rsidRDefault="00FF17D2">
            <w:pPr>
              <w:pStyle w:val="MDPI42tablebody"/>
              <w:rPr>
                <w:b w:val="0"/>
              </w:rPr>
            </w:pPr>
            <w:r w:rsidRPr="00FF17D2">
              <w:rPr>
                <w:b w:val="0"/>
              </w:rPr>
              <w:t>516,99</w:t>
            </w:r>
          </w:p>
        </w:tc>
        <w:tc>
          <w:tcPr>
            <w:tcW w:w="1033" w:type="dxa"/>
            <w:tcBorders>
              <w:top w:val="nil"/>
              <w:left w:val="nil"/>
              <w:bottom w:val="single" w:sz="4" w:space="0" w:color="auto"/>
              <w:right w:val="nil"/>
            </w:tcBorders>
            <w:shd w:val="clear" w:color="auto" w:fill="auto"/>
            <w:noWrap/>
            <w:vAlign w:val="bottom"/>
            <w:hideMark/>
          </w:tcPr>
          <w:p w:rsidR="00670D83" w:rsidRDefault="00FF17D2">
            <w:pPr>
              <w:pStyle w:val="MDPI42tablebody"/>
              <w:rPr>
                <w:b w:val="0"/>
              </w:rPr>
            </w:pPr>
            <w:r w:rsidRPr="00FF17D2">
              <w:rPr>
                <w:b w:val="0"/>
              </w:rPr>
              <w:t>780</w:t>
            </w:r>
          </w:p>
        </w:tc>
        <w:tc>
          <w:tcPr>
            <w:tcW w:w="851" w:type="dxa"/>
            <w:tcBorders>
              <w:top w:val="nil"/>
              <w:left w:val="nil"/>
              <w:bottom w:val="single" w:sz="4" w:space="0" w:color="auto"/>
              <w:right w:val="nil"/>
            </w:tcBorders>
            <w:shd w:val="clear" w:color="auto" w:fill="auto"/>
            <w:noWrap/>
            <w:vAlign w:val="bottom"/>
            <w:hideMark/>
          </w:tcPr>
          <w:p w:rsidR="00670D83" w:rsidRDefault="00FF17D2">
            <w:pPr>
              <w:pStyle w:val="MDPI42tablebody"/>
              <w:rPr>
                <w:b w:val="0"/>
              </w:rPr>
            </w:pPr>
            <w:r w:rsidRPr="00FF17D2">
              <w:rPr>
                <w:b w:val="0"/>
              </w:rPr>
              <w:t>66,28</w:t>
            </w:r>
          </w:p>
        </w:tc>
        <w:tc>
          <w:tcPr>
            <w:tcW w:w="992" w:type="dxa"/>
            <w:tcBorders>
              <w:top w:val="nil"/>
              <w:left w:val="nil"/>
              <w:bottom w:val="single" w:sz="4" w:space="0" w:color="auto"/>
              <w:right w:val="single" w:sz="4" w:space="0" w:color="auto"/>
            </w:tcBorders>
            <w:shd w:val="clear" w:color="auto" w:fill="auto"/>
            <w:noWrap/>
            <w:vAlign w:val="bottom"/>
            <w:hideMark/>
          </w:tcPr>
          <w:p w:rsidR="00670D83" w:rsidRDefault="00FF17D2">
            <w:pPr>
              <w:pStyle w:val="MDPI42tablebody"/>
              <w:rPr>
                <w:b w:val="0"/>
              </w:rPr>
            </w:pPr>
            <w:r w:rsidRPr="00FF17D2">
              <w:rPr>
                <w:b w:val="0"/>
              </w:rPr>
              <w:t>66,28</w:t>
            </w:r>
          </w:p>
        </w:tc>
        <w:tc>
          <w:tcPr>
            <w:tcW w:w="1038" w:type="dxa"/>
            <w:tcBorders>
              <w:top w:val="nil"/>
              <w:left w:val="single" w:sz="4" w:space="0" w:color="auto"/>
              <w:bottom w:val="single" w:sz="4" w:space="0" w:color="auto"/>
              <w:right w:val="nil"/>
            </w:tcBorders>
            <w:shd w:val="clear" w:color="auto" w:fill="auto"/>
            <w:noWrap/>
            <w:vAlign w:val="bottom"/>
            <w:hideMark/>
          </w:tcPr>
          <w:p w:rsidR="00670D83" w:rsidRDefault="00FF17D2">
            <w:pPr>
              <w:pStyle w:val="MDPI42tablebody"/>
              <w:rPr>
                <w:b w:val="0"/>
              </w:rPr>
            </w:pPr>
            <w:r w:rsidRPr="00FF17D2">
              <w:rPr>
                <w:b w:val="0"/>
              </w:rPr>
              <w:t>69,53</w:t>
            </w:r>
          </w:p>
        </w:tc>
        <w:tc>
          <w:tcPr>
            <w:tcW w:w="1105" w:type="dxa"/>
            <w:tcBorders>
              <w:top w:val="nil"/>
              <w:left w:val="nil"/>
              <w:bottom w:val="single" w:sz="4" w:space="0" w:color="auto"/>
              <w:right w:val="nil"/>
            </w:tcBorders>
            <w:vAlign w:val="bottom"/>
          </w:tcPr>
          <w:p w:rsidR="00670D83" w:rsidRDefault="00FF17D2">
            <w:pPr>
              <w:pStyle w:val="MDPI42tablebody"/>
              <w:rPr>
                <w:b w:val="0"/>
              </w:rPr>
            </w:pPr>
            <w:r w:rsidRPr="00FF17D2">
              <w:rPr>
                <w:b w:val="0"/>
              </w:rPr>
              <w:t>39</w:t>
            </w:r>
          </w:p>
        </w:tc>
        <w:tc>
          <w:tcPr>
            <w:tcW w:w="755" w:type="dxa"/>
            <w:tcBorders>
              <w:top w:val="nil"/>
              <w:left w:val="nil"/>
              <w:bottom w:val="single" w:sz="4" w:space="0" w:color="auto"/>
              <w:right w:val="nil"/>
            </w:tcBorders>
            <w:shd w:val="clear" w:color="auto" w:fill="auto"/>
            <w:noWrap/>
            <w:vAlign w:val="bottom"/>
            <w:hideMark/>
          </w:tcPr>
          <w:p w:rsidR="00670D83" w:rsidRDefault="00FF17D2">
            <w:pPr>
              <w:pStyle w:val="MDPI42tablebody"/>
              <w:rPr>
                <w:b w:val="0"/>
              </w:rPr>
            </w:pPr>
            <w:r w:rsidRPr="00FF17D2">
              <w:rPr>
                <w:b w:val="0"/>
              </w:rPr>
              <w:t>178,28</w:t>
            </w:r>
          </w:p>
        </w:tc>
        <w:tc>
          <w:tcPr>
            <w:tcW w:w="1190" w:type="dxa"/>
            <w:tcBorders>
              <w:top w:val="nil"/>
              <w:left w:val="nil"/>
              <w:bottom w:val="single" w:sz="4" w:space="0" w:color="auto"/>
              <w:right w:val="nil"/>
            </w:tcBorders>
            <w:shd w:val="clear" w:color="auto" w:fill="auto"/>
            <w:noWrap/>
            <w:vAlign w:val="bottom"/>
            <w:hideMark/>
          </w:tcPr>
          <w:p w:rsidR="00670D83" w:rsidRDefault="00FF17D2">
            <w:pPr>
              <w:pStyle w:val="MDPI42tablebody"/>
              <w:rPr>
                <w:b w:val="0"/>
              </w:rPr>
            </w:pPr>
            <w:r w:rsidRPr="00FF17D2">
              <w:rPr>
                <w:b w:val="0"/>
              </w:rPr>
              <w:t>100</w:t>
            </w:r>
          </w:p>
        </w:tc>
      </w:tr>
      <w:tr w:rsidR="005355A8" w:rsidRPr="00B00E6B" w:rsidTr="00732DD0">
        <w:trPr>
          <w:trHeight w:val="255"/>
        </w:trPr>
        <w:tc>
          <w:tcPr>
            <w:tcW w:w="1999" w:type="dxa"/>
            <w:tcBorders>
              <w:top w:val="single" w:sz="4" w:space="0" w:color="auto"/>
              <w:left w:val="nil"/>
            </w:tcBorders>
            <w:shd w:val="clear" w:color="auto" w:fill="auto"/>
            <w:noWrap/>
            <w:vAlign w:val="bottom"/>
            <w:hideMark/>
          </w:tcPr>
          <w:p w:rsidR="00670D83" w:rsidRDefault="00670D83">
            <w:pPr>
              <w:pStyle w:val="MDPI42tablebody"/>
              <w:rPr>
                <w:b w:val="0"/>
              </w:rPr>
            </w:pPr>
          </w:p>
        </w:tc>
        <w:tc>
          <w:tcPr>
            <w:tcW w:w="1174" w:type="dxa"/>
            <w:tcBorders>
              <w:top w:val="single" w:sz="4" w:space="0" w:color="auto"/>
            </w:tcBorders>
            <w:shd w:val="clear" w:color="auto" w:fill="auto"/>
            <w:noWrap/>
            <w:vAlign w:val="bottom"/>
            <w:hideMark/>
          </w:tcPr>
          <w:p w:rsidR="00670D83" w:rsidRDefault="00670D83">
            <w:pPr>
              <w:pStyle w:val="MDPI42tablebody"/>
              <w:rPr>
                <w:b w:val="0"/>
              </w:rPr>
            </w:pPr>
          </w:p>
        </w:tc>
        <w:tc>
          <w:tcPr>
            <w:tcW w:w="1033" w:type="dxa"/>
            <w:tcBorders>
              <w:top w:val="single" w:sz="4" w:space="0" w:color="auto"/>
            </w:tcBorders>
            <w:shd w:val="clear" w:color="auto" w:fill="auto"/>
            <w:noWrap/>
            <w:vAlign w:val="bottom"/>
            <w:hideMark/>
          </w:tcPr>
          <w:p w:rsidR="00670D83" w:rsidRDefault="00670D83">
            <w:pPr>
              <w:pStyle w:val="MDPI42tablebody"/>
              <w:rPr>
                <w:b w:val="0"/>
              </w:rPr>
            </w:pPr>
          </w:p>
        </w:tc>
        <w:tc>
          <w:tcPr>
            <w:tcW w:w="851" w:type="dxa"/>
            <w:tcBorders>
              <w:top w:val="single" w:sz="4" w:space="0" w:color="auto"/>
            </w:tcBorders>
            <w:shd w:val="clear" w:color="auto" w:fill="auto"/>
            <w:noWrap/>
            <w:vAlign w:val="bottom"/>
          </w:tcPr>
          <w:p w:rsidR="00670D83" w:rsidRDefault="00670D83">
            <w:pPr>
              <w:pStyle w:val="MDPI42tablebody"/>
              <w:rPr>
                <w:b w:val="0"/>
              </w:rPr>
            </w:pPr>
          </w:p>
        </w:tc>
        <w:tc>
          <w:tcPr>
            <w:tcW w:w="992" w:type="dxa"/>
            <w:tcBorders>
              <w:top w:val="single" w:sz="4" w:space="0" w:color="auto"/>
              <w:right w:val="single" w:sz="4" w:space="0" w:color="auto"/>
            </w:tcBorders>
            <w:shd w:val="clear" w:color="auto" w:fill="auto"/>
            <w:noWrap/>
            <w:vAlign w:val="bottom"/>
          </w:tcPr>
          <w:p w:rsidR="00670D83" w:rsidRDefault="00670D83">
            <w:pPr>
              <w:pStyle w:val="MDPI42tablebody"/>
              <w:rPr>
                <w:b w:val="0"/>
              </w:rPr>
            </w:pPr>
          </w:p>
        </w:tc>
        <w:tc>
          <w:tcPr>
            <w:tcW w:w="2898" w:type="dxa"/>
            <w:gridSpan w:val="3"/>
            <w:tcBorders>
              <w:top w:val="single" w:sz="4" w:space="0" w:color="auto"/>
              <w:left w:val="single" w:sz="4" w:space="0" w:color="auto"/>
            </w:tcBorders>
            <w:shd w:val="clear" w:color="auto" w:fill="auto"/>
            <w:noWrap/>
            <w:vAlign w:val="bottom"/>
          </w:tcPr>
          <w:p w:rsidR="00670D83" w:rsidRDefault="00670D83">
            <w:pPr>
              <w:pStyle w:val="MDPI42tablebody"/>
              <w:rPr>
                <w:b w:val="0"/>
              </w:rPr>
            </w:pPr>
          </w:p>
        </w:tc>
        <w:tc>
          <w:tcPr>
            <w:tcW w:w="1190" w:type="dxa"/>
            <w:tcBorders>
              <w:top w:val="single" w:sz="4" w:space="0" w:color="auto"/>
            </w:tcBorders>
            <w:shd w:val="clear" w:color="auto" w:fill="auto"/>
            <w:noWrap/>
            <w:vAlign w:val="bottom"/>
          </w:tcPr>
          <w:p w:rsidR="00670D83" w:rsidRDefault="00670D83">
            <w:pPr>
              <w:pStyle w:val="MDPI42tablebody"/>
              <w:rPr>
                <w:b w:val="0"/>
              </w:rPr>
            </w:pPr>
          </w:p>
        </w:tc>
      </w:tr>
      <w:tr w:rsidR="005355A8" w:rsidRPr="00B00E6B" w:rsidTr="00732DD0">
        <w:trPr>
          <w:trHeight w:val="255"/>
        </w:trPr>
        <w:tc>
          <w:tcPr>
            <w:tcW w:w="1999" w:type="dxa"/>
            <w:tcBorders>
              <w:left w:val="nil"/>
            </w:tcBorders>
            <w:shd w:val="clear" w:color="auto" w:fill="auto"/>
            <w:noWrap/>
            <w:vAlign w:val="bottom"/>
            <w:hideMark/>
          </w:tcPr>
          <w:p w:rsidR="00670D83" w:rsidRDefault="00670D83">
            <w:pPr>
              <w:pStyle w:val="MDPI42tablebody"/>
              <w:rPr>
                <w:b w:val="0"/>
              </w:rPr>
            </w:pPr>
          </w:p>
        </w:tc>
        <w:tc>
          <w:tcPr>
            <w:tcW w:w="1174" w:type="dxa"/>
            <w:shd w:val="clear" w:color="auto" w:fill="auto"/>
            <w:noWrap/>
            <w:vAlign w:val="bottom"/>
            <w:hideMark/>
          </w:tcPr>
          <w:p w:rsidR="00670D83" w:rsidRDefault="00670D83">
            <w:pPr>
              <w:pStyle w:val="MDPI42tablebody"/>
              <w:rPr>
                <w:b w:val="0"/>
              </w:rPr>
            </w:pPr>
          </w:p>
        </w:tc>
        <w:tc>
          <w:tcPr>
            <w:tcW w:w="1033" w:type="dxa"/>
            <w:shd w:val="clear" w:color="auto" w:fill="auto"/>
            <w:noWrap/>
            <w:vAlign w:val="bottom"/>
            <w:hideMark/>
          </w:tcPr>
          <w:p w:rsidR="00670D83" w:rsidRDefault="00670D83">
            <w:pPr>
              <w:pStyle w:val="MDPI42tablebody"/>
              <w:rPr>
                <w:b w:val="0"/>
              </w:rPr>
            </w:pPr>
          </w:p>
        </w:tc>
        <w:tc>
          <w:tcPr>
            <w:tcW w:w="851" w:type="dxa"/>
            <w:shd w:val="clear" w:color="auto" w:fill="auto"/>
            <w:noWrap/>
            <w:vAlign w:val="bottom"/>
            <w:hideMark/>
          </w:tcPr>
          <w:p w:rsidR="00670D83" w:rsidRDefault="00FF17D2">
            <w:pPr>
              <w:pStyle w:val="MDPI42tablebody"/>
              <w:rPr>
                <w:b w:val="0"/>
              </w:rPr>
            </w:pPr>
            <w:r w:rsidRPr="00FF17D2">
              <w:rPr>
                <w:b w:val="0"/>
              </w:rPr>
              <w:t>MAR=</w:t>
            </w:r>
          </w:p>
        </w:tc>
        <w:tc>
          <w:tcPr>
            <w:tcW w:w="992" w:type="dxa"/>
            <w:tcBorders>
              <w:right w:val="single" w:sz="4" w:space="0" w:color="auto"/>
            </w:tcBorders>
            <w:shd w:val="clear" w:color="auto" w:fill="auto"/>
            <w:noWrap/>
            <w:vAlign w:val="bottom"/>
            <w:hideMark/>
          </w:tcPr>
          <w:p w:rsidR="00670D83" w:rsidRDefault="00FF17D2">
            <w:pPr>
              <w:pStyle w:val="MDPI42tablebody"/>
              <w:rPr>
                <w:b w:val="0"/>
              </w:rPr>
            </w:pPr>
            <w:r w:rsidRPr="00FF17D2">
              <w:rPr>
                <w:b w:val="0"/>
              </w:rPr>
              <w:t>52,90</w:t>
            </w:r>
          </w:p>
        </w:tc>
        <w:tc>
          <w:tcPr>
            <w:tcW w:w="1038" w:type="dxa"/>
            <w:tcBorders>
              <w:left w:val="single" w:sz="4" w:space="0" w:color="auto"/>
            </w:tcBorders>
            <w:shd w:val="clear" w:color="auto" w:fill="auto"/>
            <w:noWrap/>
            <w:vAlign w:val="bottom"/>
            <w:hideMark/>
          </w:tcPr>
          <w:p w:rsidR="00670D83" w:rsidRDefault="00670D83">
            <w:pPr>
              <w:pStyle w:val="MDPI42tablebody"/>
              <w:rPr>
                <w:b w:val="0"/>
              </w:rPr>
            </w:pPr>
          </w:p>
        </w:tc>
        <w:tc>
          <w:tcPr>
            <w:tcW w:w="1860" w:type="dxa"/>
            <w:gridSpan w:val="2"/>
            <w:vAlign w:val="bottom"/>
          </w:tcPr>
          <w:p w:rsidR="00670D83" w:rsidRDefault="00FF17D2">
            <w:pPr>
              <w:pStyle w:val="MDPI42tablebody"/>
              <w:rPr>
                <w:b w:val="0"/>
              </w:rPr>
            </w:pPr>
            <w:r w:rsidRPr="00FF17D2">
              <w:rPr>
                <w:b w:val="0"/>
              </w:rPr>
              <w:t>MAR/2000kcal=</w:t>
            </w:r>
          </w:p>
        </w:tc>
        <w:tc>
          <w:tcPr>
            <w:tcW w:w="1190" w:type="dxa"/>
            <w:shd w:val="clear" w:color="auto" w:fill="auto"/>
            <w:noWrap/>
            <w:vAlign w:val="bottom"/>
            <w:hideMark/>
          </w:tcPr>
          <w:p w:rsidR="00670D83" w:rsidRDefault="00FF17D2">
            <w:pPr>
              <w:pStyle w:val="MDPI42tablebody"/>
              <w:rPr>
                <w:b w:val="0"/>
              </w:rPr>
            </w:pPr>
            <w:r w:rsidRPr="00FF17D2">
              <w:rPr>
                <w:b w:val="0"/>
              </w:rPr>
              <w:t>96,52</w:t>
            </w:r>
          </w:p>
        </w:tc>
      </w:tr>
    </w:tbl>
    <w:p w:rsidR="005355A8" w:rsidRDefault="005355A8" w:rsidP="005355A8">
      <w:pPr>
        <w:pStyle w:val="MDPI21heading1"/>
      </w:pPr>
    </w:p>
    <w:p w:rsidR="005355A8" w:rsidRDefault="005355A8" w:rsidP="005B5243">
      <w:pPr>
        <w:pStyle w:val="MDPI21heading1"/>
      </w:pPr>
    </w:p>
    <w:p w:rsidR="00EA6423" w:rsidRPr="00D836A2" w:rsidRDefault="00EA6423" w:rsidP="005B5243">
      <w:pPr>
        <w:pStyle w:val="MDPI21heading1"/>
      </w:pPr>
      <w:r w:rsidRPr="00D836A2">
        <w:t xml:space="preserve">Appendix </w:t>
      </w:r>
      <w:r w:rsidR="001902DB">
        <w:t>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E32C95" w:rsidRPr="00A9521A" w:rsidTr="00E32C95">
        <w:tc>
          <w:tcPr>
            <w:tcW w:w="8834" w:type="dxa"/>
          </w:tcPr>
          <w:p w:rsidR="00E32C95" w:rsidRPr="00D836A2" w:rsidRDefault="00E32C95" w:rsidP="00E32C95">
            <w:pPr>
              <w:pStyle w:val="MDPI52figure"/>
            </w:pPr>
            <w:r w:rsidRPr="00D836A2">
              <w:t>Energy, Proteins, Essential Fatty Acids</w:t>
            </w:r>
          </w:p>
        </w:tc>
      </w:tr>
      <w:tr w:rsidR="00E32C95" w:rsidRPr="00D836A2" w:rsidTr="00E32C95">
        <w:tc>
          <w:tcPr>
            <w:tcW w:w="8834" w:type="dxa"/>
          </w:tcPr>
          <w:p w:rsidR="00E32C95" w:rsidRPr="00D836A2" w:rsidRDefault="00B4769A" w:rsidP="00E32C95">
            <w:pPr>
              <w:pStyle w:val="MDPI52figure"/>
            </w:pPr>
            <w:r>
              <w:rPr>
                <w:noProof/>
                <w:lang w:val="fr-FR" w:eastAsia="fr-FR" w:bidi="ar-SA"/>
              </w:rPr>
              <w:drawing>
                <wp:inline distT="0" distB="0" distL="0" distR="0">
                  <wp:extent cx="4870800" cy="2252387"/>
                  <wp:effectExtent l="0" t="0" r="635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0800" cy="2252387"/>
                          </a:xfrm>
                          <a:prstGeom prst="rect">
                            <a:avLst/>
                          </a:prstGeom>
                          <a:noFill/>
                          <a:ln>
                            <a:noFill/>
                          </a:ln>
                        </pic:spPr>
                      </pic:pic>
                    </a:graphicData>
                  </a:graphic>
                </wp:inline>
              </w:drawing>
            </w:r>
          </w:p>
        </w:tc>
      </w:tr>
      <w:tr w:rsidR="00E32C95" w:rsidRPr="00D836A2" w:rsidTr="00E32C95">
        <w:tc>
          <w:tcPr>
            <w:tcW w:w="8834" w:type="dxa"/>
          </w:tcPr>
          <w:p w:rsidR="00E32C95" w:rsidRPr="00D836A2" w:rsidRDefault="00E32C95" w:rsidP="00E32C95">
            <w:pPr>
              <w:pStyle w:val="MDPI52figure"/>
            </w:pPr>
            <w:r w:rsidRPr="00D836A2">
              <w:t>Vitamins</w:t>
            </w:r>
          </w:p>
        </w:tc>
      </w:tr>
      <w:tr w:rsidR="00E32C95" w:rsidRPr="00D836A2" w:rsidTr="00E32C95">
        <w:tc>
          <w:tcPr>
            <w:tcW w:w="8834" w:type="dxa"/>
          </w:tcPr>
          <w:p w:rsidR="00E32C95" w:rsidRPr="00D836A2" w:rsidRDefault="00E32C95" w:rsidP="00E32C95">
            <w:pPr>
              <w:pStyle w:val="MDPI52figure"/>
            </w:pPr>
            <w:r w:rsidRPr="00D836A2">
              <w:rPr>
                <w:noProof/>
                <w:lang w:val="fr-FR" w:eastAsia="fr-FR" w:bidi="ar-SA"/>
              </w:rPr>
              <w:drawing>
                <wp:inline distT="0" distB="0" distL="0" distR="0">
                  <wp:extent cx="4871019" cy="2619375"/>
                  <wp:effectExtent l="0" t="0" r="635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9329" cy="2623844"/>
                          </a:xfrm>
                          <a:prstGeom prst="rect">
                            <a:avLst/>
                          </a:prstGeom>
                          <a:noFill/>
                          <a:ln>
                            <a:noFill/>
                          </a:ln>
                        </pic:spPr>
                      </pic:pic>
                    </a:graphicData>
                  </a:graphic>
                </wp:inline>
              </w:drawing>
            </w:r>
          </w:p>
        </w:tc>
      </w:tr>
      <w:tr w:rsidR="00E32C95" w:rsidRPr="00D836A2" w:rsidTr="00E32C95">
        <w:tc>
          <w:tcPr>
            <w:tcW w:w="8834" w:type="dxa"/>
          </w:tcPr>
          <w:p w:rsidR="00E32C95" w:rsidRPr="00D836A2" w:rsidRDefault="00E32C95" w:rsidP="00E32C95">
            <w:pPr>
              <w:pStyle w:val="MDPI52figure"/>
            </w:pPr>
            <w:r w:rsidRPr="00D836A2">
              <w:t>Minerals</w:t>
            </w:r>
          </w:p>
        </w:tc>
      </w:tr>
      <w:tr w:rsidR="00E32C95" w:rsidRPr="00D836A2" w:rsidTr="00E32C95">
        <w:tc>
          <w:tcPr>
            <w:tcW w:w="8834" w:type="dxa"/>
          </w:tcPr>
          <w:p w:rsidR="00E32C95" w:rsidRPr="00D836A2" w:rsidRDefault="00E32C95" w:rsidP="00E32C95">
            <w:pPr>
              <w:pStyle w:val="MDPI52figure"/>
            </w:pPr>
            <w:r w:rsidRPr="00D836A2">
              <w:rPr>
                <w:noProof/>
                <w:lang w:val="fr-FR" w:eastAsia="fr-FR" w:bidi="ar-SA"/>
              </w:rPr>
              <w:lastRenderedPageBreak/>
              <w:drawing>
                <wp:inline distT="0" distB="0" distL="0" distR="0">
                  <wp:extent cx="5137757" cy="2524125"/>
                  <wp:effectExtent l="0" t="0" r="635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2122" cy="2526269"/>
                          </a:xfrm>
                          <a:prstGeom prst="rect">
                            <a:avLst/>
                          </a:prstGeom>
                          <a:noFill/>
                          <a:ln>
                            <a:noFill/>
                          </a:ln>
                        </pic:spPr>
                      </pic:pic>
                    </a:graphicData>
                  </a:graphic>
                </wp:inline>
              </w:drawing>
            </w:r>
          </w:p>
        </w:tc>
      </w:tr>
    </w:tbl>
    <w:p w:rsidR="001E25B9" w:rsidRPr="00D836A2" w:rsidRDefault="00E32C95" w:rsidP="00B529BB">
      <w:pPr>
        <w:pStyle w:val="MDPI51figurecaption"/>
        <w:rPr>
          <w:snapToGrid w:val="0"/>
          <w:sz w:val="20"/>
          <w:szCs w:val="22"/>
        </w:rPr>
      </w:pPr>
      <w:r w:rsidRPr="00D836A2">
        <w:rPr>
          <w:b/>
        </w:rPr>
        <w:t>Figure A1.</w:t>
      </w:r>
      <w:r w:rsidRPr="00D836A2">
        <w:t xml:space="preserve"> Average </w:t>
      </w:r>
      <w:r w:rsidR="000A6F0E" w:rsidRPr="00D836A2">
        <w:t>c</w:t>
      </w:r>
      <w:r w:rsidRPr="00D836A2">
        <w:t xml:space="preserve">ontributions of 5 </w:t>
      </w:r>
      <w:r w:rsidR="000A6F0E" w:rsidRPr="00D836A2">
        <w:t xml:space="preserve">meal components </w:t>
      </w:r>
      <w:r w:rsidRPr="00D836A2">
        <w:t xml:space="preserve">to the </w:t>
      </w:r>
      <w:r w:rsidR="000A6F0E" w:rsidRPr="00D836A2">
        <w:t>nutrient c</w:t>
      </w:r>
      <w:r w:rsidRPr="00D836A2">
        <w:t xml:space="preserve">ontents of the </w:t>
      </w:r>
      <w:r w:rsidR="000A6F0E" w:rsidRPr="00D836A2">
        <w:t>o</w:t>
      </w:r>
      <w:r w:rsidRPr="00D836A2">
        <w:t xml:space="preserve">bserved </w:t>
      </w:r>
      <w:r w:rsidR="000A6F0E" w:rsidRPr="00D836A2">
        <w:t>s</w:t>
      </w:r>
      <w:r w:rsidRPr="00D836A2">
        <w:t xml:space="preserve">eries (n=40 series of 20 meals), </w:t>
      </w:r>
      <w:r w:rsidR="00AE50D9">
        <w:t>e</w:t>
      </w:r>
      <w:r w:rsidRPr="00D836A2">
        <w:t>xpressed in % of daily recommended intakes (multiplied by 20)</w:t>
      </w:r>
      <w:r w:rsidR="00B529BB" w:rsidRPr="00D836A2">
        <w:t>.</w:t>
      </w:r>
    </w:p>
    <w:p w:rsidR="00EA6423" w:rsidRPr="00D836A2" w:rsidRDefault="00FA09F5" w:rsidP="00B529BB">
      <w:pPr>
        <w:pStyle w:val="MDPI21heading1"/>
      </w:pPr>
      <w:r w:rsidRPr="006C5B2D">
        <w:br w:type="column"/>
      </w:r>
      <w:r w:rsidR="00EA6423" w:rsidRPr="00D836A2">
        <w:lastRenderedPageBreak/>
        <w:t>References</w:t>
      </w:r>
    </w:p>
    <w:p w:rsidR="00713620" w:rsidRPr="006C5B2D" w:rsidRDefault="00FF17D2" w:rsidP="00713620">
      <w:pPr>
        <w:pStyle w:val="MDPI71References"/>
        <w:numPr>
          <w:ilvl w:val="0"/>
          <w:numId w:val="15"/>
        </w:numPr>
        <w:ind w:left="425" w:hanging="425"/>
        <w:rPr>
          <w:rFonts w:ascii="Arial" w:eastAsiaTheme="minorEastAsia" w:hAnsi="Arial" w:cs="Arial"/>
        </w:rPr>
      </w:pPr>
      <w:r>
        <w:rPr>
          <w:rFonts w:eastAsiaTheme="minorEastAsia"/>
        </w:rPr>
        <w:fldChar w:fldCharType="begin"/>
      </w:r>
      <w:r w:rsidR="00713620" w:rsidRPr="00030FE3">
        <w:rPr>
          <w:rFonts w:eastAsiaTheme="minorEastAsia"/>
        </w:rPr>
        <w:instrText xml:space="preserve"> ADDIN REFMGR.REFLIST </w:instrText>
      </w:r>
      <w:r>
        <w:rPr>
          <w:rFonts w:eastAsiaTheme="minorEastAsia"/>
        </w:rPr>
        <w:fldChar w:fldCharType="separate"/>
      </w:r>
      <w:r w:rsidR="00713620" w:rsidRPr="006C5B2D">
        <w:rPr>
          <w:rFonts w:eastAsiaTheme="minorEastAsia"/>
        </w:rPr>
        <w:t>Anonymous</w:t>
      </w:r>
      <w:r w:rsidR="00713620">
        <w:rPr>
          <w:rFonts w:eastAsiaTheme="minorEastAsia"/>
        </w:rPr>
        <w:t xml:space="preserve"> </w:t>
      </w:r>
      <w:r w:rsidR="00713620" w:rsidRPr="006C5B2D">
        <w:rPr>
          <w:rFonts w:ascii="Museo300-Regular" w:eastAsiaTheme="minorEastAsia" w:hAnsi="Museo300-Regular"/>
        </w:rPr>
        <w:t>EU Action Plan on Childhood Obesity 2014-2020.</w:t>
      </w:r>
      <w:r w:rsidR="00713620" w:rsidRPr="006C5B2D">
        <w:rPr>
          <w:rFonts w:eastAsiaTheme="minorEastAsia"/>
        </w:rPr>
        <w:t xml:space="preserve"> </w:t>
      </w:r>
      <w:r w:rsidR="00713620" w:rsidRPr="006C5B2D">
        <w:rPr>
          <w:rFonts w:eastAsiaTheme="minorEastAsia"/>
          <w:i/>
        </w:rPr>
        <w:t xml:space="preserve">Action Plan. </w:t>
      </w:r>
      <w:r w:rsidR="00713620" w:rsidRPr="006C5B2D">
        <w:rPr>
          <w:rFonts w:ascii="Arial" w:eastAsiaTheme="minorEastAsia" w:hAnsi="Arial" w:cs="Arial"/>
        </w:rPr>
        <w:t>2014</w:t>
      </w:r>
      <w:r w:rsidR="00713620" w:rsidRPr="006C5B2D">
        <w:rPr>
          <w:rFonts w:eastAsiaTheme="minorEastAsia"/>
        </w:rPr>
        <w:t xml:space="preserve">, </w:t>
      </w:r>
      <w:r w:rsidR="00713620" w:rsidRPr="006C5B2D">
        <w:rPr>
          <w:rFonts w:ascii="Arial" w:eastAsiaTheme="minorEastAsia" w:hAnsi="Arial" w:cs="Arial"/>
        </w:rPr>
        <w:t xml:space="preserve"> </w:t>
      </w:r>
    </w:p>
    <w:p w:rsidR="00713620" w:rsidRPr="006C5B2D" w:rsidRDefault="00713620" w:rsidP="00713620">
      <w:pPr>
        <w:pStyle w:val="MDPI71References"/>
        <w:numPr>
          <w:ilvl w:val="0"/>
          <w:numId w:val="15"/>
        </w:numPr>
        <w:ind w:left="425" w:hanging="425"/>
        <w:rPr>
          <w:rFonts w:ascii="Arial" w:eastAsiaTheme="minorEastAsia" w:hAnsi="Arial" w:cs="Arial"/>
        </w:rPr>
      </w:pPr>
      <w:r w:rsidRPr="006C5B2D">
        <w:rPr>
          <w:rFonts w:eastAsiaTheme="minorEastAsia"/>
        </w:rPr>
        <w:t xml:space="preserve">Caldeira, S.; Storcksdieck genannt Bonsmann, S.; Bakogianni, I.; Gauci, C.; Calleja, A.; Furtado, A. Public procurement of food for health. Technical report on the school setting. </w:t>
      </w:r>
      <w:r w:rsidRPr="006C5B2D">
        <w:rPr>
          <w:rFonts w:eastAsiaTheme="minorEastAsia"/>
          <w:i/>
        </w:rPr>
        <w:t xml:space="preserve">Joint Publication of the Maltese presidency and the European Commission. </w:t>
      </w:r>
      <w:r w:rsidRPr="006C5B2D">
        <w:rPr>
          <w:rFonts w:ascii="Arial" w:eastAsiaTheme="minorEastAsia" w:hAnsi="Arial" w:cs="Arial"/>
        </w:rPr>
        <w:t>2017</w:t>
      </w:r>
      <w:r w:rsidRPr="006C5B2D">
        <w:rPr>
          <w:rFonts w:eastAsiaTheme="minorEastAsia"/>
        </w:rPr>
        <w:t xml:space="preserve">, </w:t>
      </w:r>
      <w:r w:rsidRPr="006C5B2D">
        <w:rPr>
          <w:rFonts w:ascii="Arial" w:eastAsiaTheme="minorEastAsia" w:hAnsi="Arial" w:cs="Arial"/>
        </w:rPr>
        <w:t xml:space="preserve">22 February 2017, </w:t>
      </w:r>
    </w:p>
    <w:p w:rsidR="00713620" w:rsidRPr="006C5B2D" w:rsidRDefault="00713620" w:rsidP="00713620">
      <w:pPr>
        <w:pStyle w:val="MDPI71References"/>
        <w:numPr>
          <w:ilvl w:val="0"/>
          <w:numId w:val="15"/>
        </w:numPr>
        <w:ind w:left="425" w:hanging="425"/>
        <w:rPr>
          <w:rFonts w:ascii="Arial" w:eastAsiaTheme="minorEastAsia" w:hAnsi="Arial" w:cs="Arial"/>
        </w:rPr>
      </w:pPr>
      <w:r w:rsidRPr="006C5B2D">
        <w:rPr>
          <w:rFonts w:eastAsiaTheme="minorEastAsia"/>
        </w:rPr>
        <w:t>Anonymous</w:t>
      </w:r>
      <w:r w:rsidRPr="006C5B2D">
        <w:rPr>
          <w:rFonts w:ascii="Museo300-Regular" w:eastAsiaTheme="minorEastAsia" w:hAnsi="Museo300-Regular"/>
        </w:rPr>
        <w:t>Mapping of national school food policies across the EU28 plus Norway and Switzerland</w:t>
      </w:r>
      <w:r w:rsidRPr="006C5B2D">
        <w:rPr>
          <w:rFonts w:eastAsiaTheme="minorEastAsia"/>
        </w:rPr>
        <w:t xml:space="preserve">. </w:t>
      </w:r>
      <w:r w:rsidRPr="006C5B2D">
        <w:rPr>
          <w:rFonts w:eastAsiaTheme="minorEastAsia"/>
          <w:i/>
        </w:rPr>
        <w:t xml:space="preserve">JRC Science and Policy Report. </w:t>
      </w:r>
      <w:r w:rsidRPr="006C5B2D">
        <w:rPr>
          <w:rFonts w:ascii="Arial" w:eastAsiaTheme="minorEastAsia" w:hAnsi="Arial" w:cs="Arial"/>
        </w:rPr>
        <w:t>2014</w:t>
      </w:r>
      <w:r w:rsidRPr="006C5B2D">
        <w:rPr>
          <w:rFonts w:eastAsiaTheme="minorEastAsia"/>
        </w:rPr>
        <w:t xml:space="preserve">, </w:t>
      </w:r>
      <w:r w:rsidRPr="006C5B2D">
        <w:rPr>
          <w:rFonts w:ascii="Arial" w:eastAsiaTheme="minorEastAsia" w:hAnsi="Arial" w:cs="Arial"/>
        </w:rPr>
        <w:t xml:space="preserve"> </w:t>
      </w:r>
    </w:p>
    <w:p w:rsidR="00713620" w:rsidRPr="006C5B2D" w:rsidRDefault="00713620" w:rsidP="00713620">
      <w:pPr>
        <w:pStyle w:val="MDPI71References"/>
        <w:numPr>
          <w:ilvl w:val="0"/>
          <w:numId w:val="15"/>
        </w:numPr>
        <w:ind w:left="425" w:hanging="425"/>
        <w:rPr>
          <w:rFonts w:ascii="Arial" w:eastAsiaTheme="minorEastAsia" w:hAnsi="Arial" w:cs="Arial"/>
          <w:lang w:val="fr-FR"/>
        </w:rPr>
      </w:pPr>
      <w:r w:rsidRPr="006C5B2D">
        <w:rPr>
          <w:rFonts w:eastAsiaTheme="minorEastAsia"/>
        </w:rPr>
        <w:t xml:space="preserve">WHO regional office for Europe. Food and nutrition policy for schools. A tool for the development of school nutrition programmes in the European Region. </w:t>
      </w:r>
      <w:r w:rsidRPr="006C5B2D">
        <w:rPr>
          <w:rFonts w:eastAsiaTheme="minorEastAsia"/>
          <w:i/>
          <w:lang w:val="fr-FR"/>
        </w:rPr>
        <w:t xml:space="preserve">Programme for Nutrition and Food Security. </w:t>
      </w:r>
      <w:r w:rsidRPr="006C5B2D">
        <w:rPr>
          <w:rFonts w:ascii="Arial" w:eastAsiaTheme="minorEastAsia" w:hAnsi="Arial" w:cs="Arial"/>
          <w:lang w:val="fr-FR"/>
        </w:rPr>
        <w:t>2006</w:t>
      </w:r>
      <w:r w:rsidRPr="006C5B2D">
        <w:rPr>
          <w:rFonts w:eastAsiaTheme="minorEastAsia"/>
          <w:lang w:val="fr-FR"/>
        </w:rPr>
        <w:t xml:space="preserve">, </w:t>
      </w:r>
      <w:r w:rsidRPr="006C5B2D">
        <w:rPr>
          <w:rFonts w:ascii="Arial" w:eastAsiaTheme="minorEastAsia" w:hAnsi="Arial" w:cs="Arial"/>
          <w:lang w:val="fr-FR"/>
        </w:rPr>
        <w:t xml:space="preserve">Copenhaguen, </w:t>
      </w:r>
    </w:p>
    <w:p w:rsidR="00713620" w:rsidRPr="006C5B2D" w:rsidRDefault="00713620" w:rsidP="00713620">
      <w:pPr>
        <w:pStyle w:val="MDPI71References"/>
        <w:numPr>
          <w:ilvl w:val="0"/>
          <w:numId w:val="15"/>
        </w:numPr>
        <w:ind w:left="425" w:hanging="425"/>
        <w:rPr>
          <w:rFonts w:ascii="Arial" w:eastAsiaTheme="minorEastAsia" w:hAnsi="Arial" w:cs="Arial"/>
          <w:lang w:val="fr-FR"/>
        </w:rPr>
      </w:pPr>
      <w:r w:rsidRPr="006C5B2D">
        <w:rPr>
          <w:rFonts w:eastAsiaTheme="minorEastAsia"/>
          <w:lang w:val="fr-FR"/>
        </w:rPr>
        <w:t xml:space="preserve">Commission de l'environnement de la santé publique et de la sécurité alimentaire; Rapporteur: Alessandro Foglietta. Rapport sur le Livre blanc sur la nutrition, la surcharge pondérale et l'obésité (2007/2285(INI)). </w:t>
      </w:r>
      <w:hyperlink r:id="rId22" w:history="1">
        <w:r w:rsidRPr="006C5B2D">
          <w:rPr>
            <w:rStyle w:val="Lienhypertexte"/>
            <w:rFonts w:eastAsiaTheme="minorEastAsia"/>
            <w:i/>
            <w:szCs w:val="18"/>
            <w:lang w:val="fr-FR"/>
          </w:rPr>
          <w:t>http://www</w:t>
        </w:r>
      </w:hyperlink>
      <w:r w:rsidRPr="006C5B2D">
        <w:rPr>
          <w:rFonts w:eastAsiaTheme="minorEastAsia"/>
          <w:i/>
          <w:lang w:val="fr-FR"/>
        </w:rPr>
        <w:t xml:space="preserve">. europarl. europa. eu/sides/getDoc. do?type=REPORT&amp;reference=A6-2008-0256&amp;language=FR. </w:t>
      </w:r>
      <w:r w:rsidRPr="006C5B2D">
        <w:rPr>
          <w:rFonts w:ascii="Arial" w:eastAsiaTheme="minorEastAsia" w:hAnsi="Arial" w:cs="Arial"/>
          <w:lang w:val="fr-FR"/>
        </w:rPr>
        <w:t>2008</w:t>
      </w:r>
      <w:r w:rsidRPr="006C5B2D">
        <w:rPr>
          <w:rFonts w:eastAsiaTheme="minorEastAsia"/>
          <w:lang w:val="fr-FR"/>
        </w:rPr>
        <w:t xml:space="preserve">, </w:t>
      </w:r>
      <w:r w:rsidRPr="006C5B2D">
        <w:rPr>
          <w:rFonts w:ascii="Arial" w:eastAsiaTheme="minorEastAsia" w:hAnsi="Arial" w:cs="Arial"/>
          <w:lang w:val="fr-FR"/>
        </w:rPr>
        <w:t xml:space="preserve"> </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lang w:val="fr-FR"/>
        </w:rPr>
        <w:t xml:space="preserve">Lafay, L.; Volatier, J.-L.; Martin, A. La restauration scolaire dans l'enquête INCA, 2e partie : Les repas servis en restauration scolaire : apports nutritionnels, alimentaires et impact sur la nutrition des enfants. </w:t>
      </w:r>
      <w:r w:rsidRPr="006C5B2D">
        <w:rPr>
          <w:rFonts w:eastAsiaTheme="minorEastAsia"/>
          <w:i/>
        </w:rPr>
        <w:t xml:space="preserve">Cah Nutr Diet. </w:t>
      </w:r>
      <w:r w:rsidRPr="006C5B2D">
        <w:rPr>
          <w:rFonts w:ascii="Arial" w:eastAsiaTheme="minorEastAsia" w:hAnsi="Arial" w:cs="Arial"/>
        </w:rPr>
        <w:t>2002</w:t>
      </w:r>
      <w:r w:rsidRPr="006C5B2D">
        <w:rPr>
          <w:rFonts w:eastAsiaTheme="minorEastAsia"/>
        </w:rPr>
        <w:t xml:space="preserve">, </w:t>
      </w:r>
      <w:r w:rsidRPr="006C5B2D">
        <w:rPr>
          <w:rFonts w:ascii="Arial" w:eastAsiaTheme="minorEastAsia" w:hAnsi="Arial" w:cs="Arial"/>
        </w:rPr>
        <w:t xml:space="preserve">37, </w:t>
      </w:r>
      <w:r w:rsidRPr="006C5B2D">
        <w:rPr>
          <w:rFonts w:eastAsiaTheme="minorEastAsia"/>
        </w:rPr>
        <w:t>395-404.</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rPr>
        <w:t xml:space="preserve">Evans, C.E.; Mandl, V.; Christian, M.S.; Cade, J.E. Impact of school lunch type on nutritional quality of English children's diets. </w:t>
      </w:r>
      <w:r w:rsidRPr="006C5B2D">
        <w:rPr>
          <w:rFonts w:eastAsiaTheme="minorEastAsia"/>
          <w:i/>
        </w:rPr>
        <w:t xml:space="preserve">Public Health Nutr. </w:t>
      </w:r>
      <w:r w:rsidRPr="006C5B2D">
        <w:rPr>
          <w:rFonts w:ascii="Arial" w:eastAsiaTheme="minorEastAsia" w:hAnsi="Arial" w:cs="Arial"/>
        </w:rPr>
        <w:t>2016</w:t>
      </w:r>
      <w:r w:rsidRPr="006C5B2D">
        <w:rPr>
          <w:rFonts w:eastAsiaTheme="minorEastAsia"/>
        </w:rPr>
        <w:t xml:space="preserve">, </w:t>
      </w:r>
      <w:r w:rsidRPr="006C5B2D">
        <w:rPr>
          <w:rFonts w:ascii="Arial" w:eastAsiaTheme="minorEastAsia" w:hAnsi="Arial" w:cs="Arial"/>
        </w:rPr>
        <w:t xml:space="preserve">19, </w:t>
      </w:r>
      <w:r w:rsidRPr="006C5B2D">
        <w:rPr>
          <w:rFonts w:eastAsiaTheme="minorEastAsia"/>
        </w:rPr>
        <w:t>36-45.</w:t>
      </w:r>
    </w:p>
    <w:p w:rsidR="00713620" w:rsidRPr="006C5B2D" w:rsidRDefault="00713620" w:rsidP="00713620">
      <w:pPr>
        <w:pStyle w:val="MDPI71References"/>
        <w:numPr>
          <w:ilvl w:val="0"/>
          <w:numId w:val="15"/>
        </w:numPr>
        <w:ind w:left="425" w:hanging="425"/>
        <w:rPr>
          <w:rFonts w:eastAsiaTheme="minorEastAsia"/>
          <w:lang w:val="fr-FR"/>
        </w:rPr>
      </w:pPr>
      <w:r w:rsidRPr="006C5B2D">
        <w:rPr>
          <w:rFonts w:eastAsiaTheme="minorEastAsia"/>
        </w:rPr>
        <w:t xml:space="preserve">Weichselbaum; Gibson-Moore; Ballam; Buttriss. Nutrition in schools across Europe: a summary report of a meeting of European Nutrition Foundations, Madrid, April 2010. </w:t>
      </w:r>
      <w:r w:rsidRPr="006C5B2D">
        <w:rPr>
          <w:rFonts w:eastAsiaTheme="minorEastAsia"/>
          <w:i/>
          <w:lang w:val="fr-FR"/>
        </w:rPr>
        <w:t xml:space="preserve">Nutr Bull. </w:t>
      </w:r>
      <w:r w:rsidRPr="006C5B2D">
        <w:rPr>
          <w:rFonts w:ascii="Arial" w:eastAsiaTheme="minorEastAsia" w:hAnsi="Arial" w:cs="Arial"/>
          <w:lang w:val="fr-FR"/>
        </w:rPr>
        <w:t>2011</w:t>
      </w:r>
      <w:r w:rsidRPr="006C5B2D">
        <w:rPr>
          <w:rFonts w:eastAsiaTheme="minorEastAsia"/>
          <w:lang w:val="fr-FR"/>
        </w:rPr>
        <w:t xml:space="preserve">, </w:t>
      </w:r>
      <w:r w:rsidRPr="006C5B2D">
        <w:rPr>
          <w:rFonts w:ascii="Arial" w:eastAsiaTheme="minorEastAsia" w:hAnsi="Arial" w:cs="Arial"/>
          <w:lang w:val="fr-FR"/>
        </w:rPr>
        <w:t xml:space="preserve">36, </w:t>
      </w:r>
      <w:r w:rsidRPr="006C5B2D">
        <w:rPr>
          <w:rFonts w:eastAsiaTheme="minorEastAsia"/>
          <w:lang w:val="fr-FR"/>
        </w:rPr>
        <w:t>124-141.</w:t>
      </w:r>
    </w:p>
    <w:p w:rsidR="00713620" w:rsidRPr="006C5B2D" w:rsidRDefault="00713620" w:rsidP="00713620">
      <w:pPr>
        <w:pStyle w:val="MDPI71References"/>
        <w:numPr>
          <w:ilvl w:val="0"/>
          <w:numId w:val="15"/>
        </w:numPr>
        <w:ind w:left="425" w:hanging="425"/>
        <w:rPr>
          <w:rFonts w:ascii="Arial" w:eastAsiaTheme="minorEastAsia" w:hAnsi="Arial" w:cs="Arial"/>
          <w:lang w:val="fr-FR"/>
        </w:rPr>
      </w:pPr>
      <w:r w:rsidRPr="006C5B2D">
        <w:rPr>
          <w:rFonts w:eastAsiaTheme="minorEastAsia"/>
          <w:lang w:val="fr-FR"/>
        </w:rPr>
        <w:t xml:space="preserve">République Française. </w:t>
      </w:r>
      <w:r w:rsidRPr="006C5B2D">
        <w:rPr>
          <w:rFonts w:ascii="AdvM2701" w:eastAsiaTheme="minorEastAsia" w:hAnsi="AdvM2701"/>
          <w:lang w:val="fr-FR"/>
        </w:rPr>
        <w:t>Decret n</w:t>
      </w:r>
      <w:r w:rsidRPr="006C5B2D">
        <w:rPr>
          <w:rFonts w:ascii="AdvP4C4E74" w:eastAsiaTheme="minorEastAsia" w:hAnsi="AdvP4C4E74"/>
          <w:lang w:val="fr-FR"/>
        </w:rPr>
        <w:t>°</w:t>
      </w:r>
      <w:r w:rsidRPr="006C5B2D">
        <w:rPr>
          <w:rFonts w:ascii="AdvM2701" w:eastAsiaTheme="minorEastAsia" w:hAnsi="AdvM2701"/>
          <w:lang w:val="fr-FR"/>
        </w:rPr>
        <w:t>2011-1227 du 30 septembre 2011 relatif a la qualité nutritionnelle des repas servis dans le cadre de la restauration scolaire</w:t>
      </w:r>
      <w:r w:rsidRPr="006C5B2D">
        <w:rPr>
          <w:rFonts w:eastAsiaTheme="minorEastAsia"/>
          <w:lang w:val="fr-FR"/>
        </w:rPr>
        <w:t xml:space="preserve">. </w:t>
      </w:r>
      <w:r w:rsidRPr="006C5B2D">
        <w:rPr>
          <w:rFonts w:eastAsiaTheme="minorEastAsia"/>
          <w:i/>
          <w:lang w:val="fr-FR"/>
        </w:rPr>
        <w:t xml:space="preserve">Journal Officiel de la République Française. </w:t>
      </w:r>
      <w:r w:rsidRPr="006C5B2D">
        <w:rPr>
          <w:rFonts w:ascii="Arial" w:eastAsiaTheme="minorEastAsia" w:hAnsi="Arial" w:cs="Arial"/>
          <w:lang w:val="fr-FR"/>
        </w:rPr>
        <w:t>2011</w:t>
      </w:r>
      <w:r w:rsidRPr="006C5B2D">
        <w:rPr>
          <w:rFonts w:eastAsiaTheme="minorEastAsia"/>
          <w:lang w:val="fr-FR"/>
        </w:rPr>
        <w:t xml:space="preserve">, </w:t>
      </w:r>
      <w:r w:rsidRPr="006C5B2D">
        <w:rPr>
          <w:rFonts w:ascii="Arial" w:eastAsiaTheme="minorEastAsia" w:hAnsi="Arial" w:cs="Arial"/>
          <w:lang w:val="fr-FR"/>
        </w:rPr>
        <w:t xml:space="preserve">JORF n° 0229 du 2 Octobre 2011:16572 Texte n°29:NOR: AGRG1032342D , </w:t>
      </w:r>
    </w:p>
    <w:p w:rsidR="00713620" w:rsidRPr="006C5B2D" w:rsidRDefault="00713620" w:rsidP="00713620">
      <w:pPr>
        <w:pStyle w:val="MDPI71References"/>
        <w:numPr>
          <w:ilvl w:val="0"/>
          <w:numId w:val="15"/>
        </w:numPr>
        <w:ind w:left="425" w:hanging="425"/>
        <w:rPr>
          <w:rFonts w:ascii="Arial" w:eastAsiaTheme="minorEastAsia" w:hAnsi="Arial" w:cs="Arial"/>
          <w:lang w:val="fr-FR"/>
        </w:rPr>
      </w:pPr>
      <w:r w:rsidRPr="006C5B2D">
        <w:rPr>
          <w:rFonts w:eastAsiaTheme="minorEastAsia"/>
          <w:lang w:val="fr-FR"/>
        </w:rPr>
        <w:t xml:space="preserve">République Française. </w:t>
      </w:r>
      <w:r w:rsidRPr="006C5B2D">
        <w:rPr>
          <w:rFonts w:eastAsiaTheme="minorEastAsia"/>
          <w:b/>
          <w:lang w:val="fr-FR"/>
        </w:rPr>
        <w:t>Arrêté du 30 septembre 2011 relatif à la qualité nutritionnelle des repas servis dans le cadre de la restauration scolaire</w:t>
      </w:r>
      <w:r w:rsidRPr="006C5B2D">
        <w:rPr>
          <w:rFonts w:eastAsiaTheme="minorEastAsia"/>
          <w:lang w:val="fr-FR"/>
        </w:rPr>
        <w:t xml:space="preserve">. </w:t>
      </w:r>
      <w:r w:rsidRPr="006C5B2D">
        <w:rPr>
          <w:rFonts w:eastAsiaTheme="minorEastAsia"/>
          <w:i/>
          <w:lang w:val="fr-FR"/>
        </w:rPr>
        <w:t xml:space="preserve">Journal Officiel de la République Française. </w:t>
      </w:r>
      <w:r w:rsidRPr="006C5B2D">
        <w:rPr>
          <w:rFonts w:ascii="Arial" w:eastAsiaTheme="minorEastAsia" w:hAnsi="Arial" w:cs="Arial"/>
          <w:lang w:val="fr-FR"/>
        </w:rPr>
        <w:t>2011</w:t>
      </w:r>
      <w:r w:rsidRPr="006C5B2D">
        <w:rPr>
          <w:rFonts w:eastAsiaTheme="minorEastAsia"/>
          <w:lang w:val="fr-FR"/>
        </w:rPr>
        <w:t xml:space="preserve">, </w:t>
      </w:r>
      <w:r w:rsidRPr="006C5B2D">
        <w:rPr>
          <w:rFonts w:ascii="Arial" w:eastAsiaTheme="minorEastAsia" w:hAnsi="Arial" w:cs="Arial"/>
          <w:lang w:val="fr-FR"/>
        </w:rPr>
        <w:t xml:space="preserve">JORF n°0229 du 2 octobre 2011: 16575 Texte n°34-NOR: AGRG1032380A Version consolidée au 25 juin 2017 , </w:t>
      </w:r>
    </w:p>
    <w:p w:rsidR="00713620" w:rsidRPr="006C5B2D" w:rsidRDefault="00713620" w:rsidP="00713620">
      <w:pPr>
        <w:pStyle w:val="MDPI71References"/>
        <w:numPr>
          <w:ilvl w:val="0"/>
          <w:numId w:val="15"/>
        </w:numPr>
        <w:ind w:left="425" w:hanging="425"/>
        <w:rPr>
          <w:rFonts w:ascii="Arial" w:eastAsiaTheme="minorEastAsia" w:hAnsi="Arial" w:cs="Arial"/>
          <w:lang w:val="fr-FR"/>
        </w:rPr>
      </w:pPr>
      <w:r w:rsidRPr="006C5B2D">
        <w:rPr>
          <w:rFonts w:eastAsiaTheme="minorEastAsia"/>
          <w:lang w:val="fr-FR"/>
        </w:rPr>
        <w:t xml:space="preserve">Ministère de l'Economie; Groupe d'Etude Marchés Restauration collective et Nutrition (GEM-RCN). Recommandation relative à la nutrition. </w:t>
      </w:r>
      <w:r w:rsidRPr="006C5B2D">
        <w:rPr>
          <w:rFonts w:eastAsiaTheme="minorEastAsia"/>
          <w:i/>
          <w:lang w:val="fr-FR"/>
        </w:rPr>
        <w:t xml:space="preserve">n°J5-07 du 4 Mai 2007. </w:t>
      </w:r>
      <w:r w:rsidRPr="006C5B2D">
        <w:rPr>
          <w:rFonts w:ascii="Arial" w:eastAsiaTheme="minorEastAsia" w:hAnsi="Arial" w:cs="Arial"/>
          <w:lang w:val="fr-FR"/>
        </w:rPr>
        <w:t>2007</w:t>
      </w:r>
      <w:r w:rsidRPr="006C5B2D">
        <w:rPr>
          <w:rFonts w:eastAsiaTheme="minorEastAsia"/>
          <w:lang w:val="fr-FR"/>
        </w:rPr>
        <w:t xml:space="preserve">, </w:t>
      </w:r>
      <w:r w:rsidRPr="006C5B2D">
        <w:rPr>
          <w:rFonts w:ascii="Arial" w:eastAsiaTheme="minorEastAsia" w:hAnsi="Arial" w:cs="Arial"/>
          <w:lang w:val="fr-FR"/>
        </w:rPr>
        <w:t xml:space="preserve"> </w:t>
      </w:r>
    </w:p>
    <w:p w:rsidR="00713620" w:rsidRPr="006C5B2D" w:rsidRDefault="00713620" w:rsidP="00713620">
      <w:pPr>
        <w:pStyle w:val="MDPI71References"/>
        <w:numPr>
          <w:ilvl w:val="0"/>
          <w:numId w:val="15"/>
        </w:numPr>
        <w:ind w:left="425" w:hanging="425"/>
        <w:rPr>
          <w:rFonts w:ascii="Arial" w:eastAsiaTheme="minorEastAsia" w:hAnsi="Arial" w:cs="Arial"/>
          <w:lang w:val="fr-FR"/>
        </w:rPr>
      </w:pPr>
      <w:r w:rsidRPr="006C5B2D">
        <w:rPr>
          <w:rFonts w:eastAsiaTheme="minorEastAsia"/>
          <w:lang w:val="fr-FR"/>
        </w:rPr>
        <w:t xml:space="preserve">Ministère de l'Economie; Groupe d'Etude des Marchés de Restauration Collective et de Nutrition (GEM-RCN). Recommandation Nutrition Complétée et mise à jour au 10 octobre 2011. </w:t>
      </w:r>
      <w:r w:rsidRPr="006C5B2D">
        <w:rPr>
          <w:rFonts w:eastAsiaTheme="minorEastAsia"/>
          <w:i/>
          <w:lang w:val="fr-FR"/>
        </w:rPr>
        <w:t xml:space="preserve">[en ligne] (Consulté le 25 juin 2017). </w:t>
      </w:r>
      <w:r w:rsidRPr="006C5B2D">
        <w:rPr>
          <w:rFonts w:ascii="Arial" w:eastAsiaTheme="minorEastAsia" w:hAnsi="Arial" w:cs="Arial"/>
          <w:lang w:val="fr-FR"/>
        </w:rPr>
        <w:t>2011</w:t>
      </w:r>
      <w:r w:rsidRPr="006C5B2D">
        <w:rPr>
          <w:rFonts w:eastAsiaTheme="minorEastAsia"/>
          <w:lang w:val="fr-FR"/>
        </w:rPr>
        <w:t xml:space="preserve">, </w:t>
      </w:r>
      <w:hyperlink r:id="rId23" w:history="1">
        <w:r w:rsidRPr="006C5B2D">
          <w:rPr>
            <w:rStyle w:val="Lienhypertexte"/>
            <w:rFonts w:ascii="Calibri" w:eastAsiaTheme="minorEastAsia" w:hAnsi="Calibri" w:cs="Calibri"/>
            <w:szCs w:val="18"/>
            <w:lang w:val="fr-FR"/>
          </w:rPr>
          <w:t>https://www.economie.gouv.fr/daj/oeap-archives-recommandation-nutrition-gem-rcn-completee-et-mise-a-jour-10-octobre-2011</w:t>
        </w:r>
      </w:hyperlink>
      <w:r w:rsidRPr="006C5B2D">
        <w:rPr>
          <w:rFonts w:ascii="Calibri" w:eastAsiaTheme="minorEastAsia" w:hAnsi="Calibri" w:cs="Calibri"/>
          <w:u w:val="single"/>
          <w:lang w:val="fr-FR"/>
        </w:rPr>
        <w:t xml:space="preserve"> </w:t>
      </w:r>
      <w:r w:rsidRPr="006C5B2D">
        <w:rPr>
          <w:rFonts w:ascii="Arial" w:eastAsiaTheme="minorEastAsia" w:hAnsi="Arial" w:cs="Arial"/>
          <w:lang w:val="fr-FR"/>
        </w:rPr>
        <w:t xml:space="preserve">, </w:t>
      </w:r>
    </w:p>
    <w:p w:rsidR="00713620" w:rsidRPr="006C5B2D" w:rsidRDefault="00713620" w:rsidP="00713620">
      <w:pPr>
        <w:pStyle w:val="MDPI71References"/>
        <w:numPr>
          <w:ilvl w:val="0"/>
          <w:numId w:val="15"/>
        </w:numPr>
        <w:ind w:left="425" w:hanging="425"/>
        <w:rPr>
          <w:rFonts w:ascii="Arial" w:eastAsiaTheme="minorEastAsia" w:hAnsi="Arial" w:cs="Arial"/>
          <w:lang w:val="fr-FR"/>
        </w:rPr>
      </w:pPr>
      <w:r w:rsidRPr="006C5B2D">
        <w:rPr>
          <w:rFonts w:eastAsiaTheme="minorEastAsia"/>
          <w:lang w:val="fr-FR"/>
        </w:rPr>
        <w:t xml:space="preserve">Ministère de l'Economie; Direction des Affaires Juridiques; Observatoire Economique de l'Achat Public; Groupe d'Etude des Marchés Restauration Collective et de Nutrition (GEM-RCN). Recommandation Nutrition,Version 2.0 Juillet 2015. </w:t>
      </w:r>
      <w:r w:rsidRPr="006C5B2D">
        <w:rPr>
          <w:rFonts w:eastAsiaTheme="minorEastAsia"/>
          <w:i/>
          <w:lang w:val="fr-FR"/>
        </w:rPr>
        <w:t xml:space="preserve">Version 2. 0 Juillet 2015. </w:t>
      </w:r>
      <w:r w:rsidRPr="006C5B2D">
        <w:rPr>
          <w:rFonts w:ascii="Arial" w:eastAsiaTheme="minorEastAsia" w:hAnsi="Arial" w:cs="Arial"/>
          <w:lang w:val="fr-FR"/>
        </w:rPr>
        <w:t>2015</w:t>
      </w:r>
      <w:r w:rsidRPr="006C5B2D">
        <w:rPr>
          <w:rFonts w:eastAsiaTheme="minorEastAsia"/>
          <w:lang w:val="fr-FR"/>
        </w:rPr>
        <w:t xml:space="preserve">, </w:t>
      </w:r>
      <w:r w:rsidRPr="006C5B2D">
        <w:rPr>
          <w:rFonts w:ascii="Arial" w:eastAsiaTheme="minorEastAsia" w:hAnsi="Arial" w:cs="Arial"/>
          <w:lang w:val="fr-FR"/>
        </w:rPr>
        <w:t xml:space="preserve">[en ligne] (Consulté le 25 juin 2017) </w:t>
      </w:r>
      <w:hyperlink r:id="rId24" w:history="1">
        <w:r w:rsidRPr="006C5B2D">
          <w:rPr>
            <w:rStyle w:val="Lienhypertexte"/>
            <w:rFonts w:ascii="Arial" w:eastAsiaTheme="minorEastAsia" w:hAnsi="Arial" w:cs="Arial"/>
            <w:szCs w:val="18"/>
            <w:lang w:val="fr-FR"/>
          </w:rPr>
          <w:t>https://www.economie.gouv.fr/daj/recommandation-nutrition,</w:t>
        </w:r>
      </w:hyperlink>
      <w:r w:rsidRPr="006C5B2D">
        <w:rPr>
          <w:rFonts w:ascii="Arial" w:eastAsiaTheme="minorEastAsia" w:hAnsi="Arial" w:cs="Arial"/>
          <w:lang w:val="fr-FR"/>
        </w:rPr>
        <w:t xml:space="preserve"> </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rPr>
        <w:t xml:space="preserve">Dubuisson, C.; Lioret, S.; Calamassi-Tran, G.; Volatier, J.L.; Lafay, L. School meals in French secondary state schools with regard to the national recommendations. </w:t>
      </w:r>
      <w:r w:rsidRPr="006C5B2D">
        <w:rPr>
          <w:rFonts w:eastAsiaTheme="minorEastAsia"/>
          <w:i/>
        </w:rPr>
        <w:t xml:space="preserve">Br. J Nutr. </w:t>
      </w:r>
      <w:r w:rsidRPr="006C5B2D">
        <w:rPr>
          <w:rFonts w:ascii="Arial" w:eastAsiaTheme="minorEastAsia" w:hAnsi="Arial" w:cs="Arial"/>
        </w:rPr>
        <w:t>2009</w:t>
      </w:r>
      <w:r w:rsidRPr="006C5B2D">
        <w:rPr>
          <w:rFonts w:eastAsiaTheme="minorEastAsia"/>
        </w:rPr>
        <w:t xml:space="preserve">, </w:t>
      </w:r>
      <w:r w:rsidRPr="006C5B2D">
        <w:rPr>
          <w:rFonts w:ascii="Arial" w:eastAsiaTheme="minorEastAsia" w:hAnsi="Arial" w:cs="Arial"/>
        </w:rPr>
        <w:t xml:space="preserve">102, </w:t>
      </w:r>
      <w:r w:rsidRPr="006C5B2D">
        <w:rPr>
          <w:rFonts w:eastAsiaTheme="minorEastAsia"/>
        </w:rPr>
        <w:t>293-301.</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rPr>
        <w:t xml:space="preserve">Bertin, M.; Lafay, L.; Calamassi-Tran, G.; Volatier, J.L.; Dubuisson, C. [Schools meals in French secondary state schools: compliance to national recommendations and schools catering patterns]. </w:t>
      </w:r>
      <w:r w:rsidRPr="006C5B2D">
        <w:rPr>
          <w:rFonts w:eastAsiaTheme="minorEastAsia"/>
          <w:i/>
        </w:rPr>
        <w:t xml:space="preserve">Rev. Epidemiol. Sante Publique. </w:t>
      </w:r>
      <w:r w:rsidRPr="006C5B2D">
        <w:rPr>
          <w:rFonts w:ascii="Arial" w:eastAsiaTheme="minorEastAsia" w:hAnsi="Arial" w:cs="Arial"/>
        </w:rPr>
        <w:t>2011</w:t>
      </w:r>
      <w:r w:rsidRPr="006C5B2D">
        <w:rPr>
          <w:rFonts w:eastAsiaTheme="minorEastAsia"/>
        </w:rPr>
        <w:t xml:space="preserve">, </w:t>
      </w:r>
      <w:r w:rsidRPr="006C5B2D">
        <w:rPr>
          <w:rFonts w:ascii="Arial" w:eastAsiaTheme="minorEastAsia" w:hAnsi="Arial" w:cs="Arial"/>
        </w:rPr>
        <w:t xml:space="preserve">59, </w:t>
      </w:r>
      <w:r w:rsidRPr="006C5B2D">
        <w:rPr>
          <w:rFonts w:eastAsiaTheme="minorEastAsia"/>
        </w:rPr>
        <w:t>33-44.</w:t>
      </w:r>
    </w:p>
    <w:p w:rsidR="00713620" w:rsidRPr="006C5B2D" w:rsidRDefault="00713620" w:rsidP="00713620">
      <w:pPr>
        <w:pStyle w:val="MDPI71References"/>
        <w:numPr>
          <w:ilvl w:val="0"/>
          <w:numId w:val="15"/>
        </w:numPr>
        <w:ind w:left="425" w:hanging="425"/>
        <w:rPr>
          <w:rFonts w:ascii="Arial" w:eastAsiaTheme="minorEastAsia" w:hAnsi="Arial" w:cs="Arial"/>
        </w:rPr>
      </w:pPr>
      <w:r w:rsidRPr="006C5B2D">
        <w:rPr>
          <w:rFonts w:eastAsiaTheme="minorEastAsia"/>
        </w:rPr>
        <w:t xml:space="preserve">FAO. </w:t>
      </w:r>
      <w:r w:rsidRPr="00030FE3">
        <w:rPr>
          <w:rFonts w:ascii="Calibri" w:eastAsiaTheme="minorEastAsia" w:hAnsi="Calibri" w:cs="Calibri"/>
        </w:rPr>
        <w:t>Nutrition-sensitive agriculture and food systems in practice Options for intervention</w:t>
      </w:r>
      <w:r w:rsidRPr="00030FE3">
        <w:rPr>
          <w:rFonts w:eastAsiaTheme="minorEastAsia"/>
        </w:rPr>
        <w:t>.</w:t>
      </w:r>
      <w:r w:rsidRPr="006C5B2D">
        <w:rPr>
          <w:rFonts w:eastAsiaTheme="minorEastAsia"/>
        </w:rPr>
        <w:t xml:space="preserve"> </w:t>
      </w:r>
      <w:r w:rsidRPr="006C5B2D">
        <w:rPr>
          <w:rFonts w:eastAsiaTheme="minorEastAsia"/>
          <w:i/>
        </w:rPr>
        <w:t xml:space="preserve">Food and Agriculture Organization of the United Nations Rome, 2017. </w:t>
      </w:r>
      <w:r w:rsidRPr="006C5B2D">
        <w:rPr>
          <w:rFonts w:ascii="Arial" w:eastAsiaTheme="minorEastAsia" w:hAnsi="Arial" w:cs="Arial"/>
        </w:rPr>
        <w:t>2017</w:t>
      </w:r>
      <w:r w:rsidRPr="006C5B2D">
        <w:rPr>
          <w:rFonts w:eastAsiaTheme="minorEastAsia"/>
        </w:rPr>
        <w:t xml:space="preserve">, </w:t>
      </w:r>
      <w:r w:rsidRPr="006C5B2D">
        <w:rPr>
          <w:rFonts w:ascii="Arial" w:eastAsiaTheme="minorEastAsia" w:hAnsi="Arial" w:cs="Arial"/>
        </w:rPr>
        <w:t xml:space="preserve"> </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rPr>
        <w:t xml:space="preserve">Maillot, M.; Darmon, N.; Darmon, M.; Lafay, L.; Drewnowski, A. Nutrient-Dense Food Groups Have High Energy Costs: An Econometric Approach to Nutrient Profiling. </w:t>
      </w:r>
      <w:r w:rsidRPr="006C5B2D">
        <w:rPr>
          <w:rFonts w:eastAsiaTheme="minorEastAsia"/>
          <w:i/>
        </w:rPr>
        <w:t xml:space="preserve">J Nutr. </w:t>
      </w:r>
      <w:r w:rsidRPr="006C5B2D">
        <w:rPr>
          <w:rFonts w:ascii="Arial" w:eastAsiaTheme="minorEastAsia" w:hAnsi="Arial" w:cs="Arial"/>
        </w:rPr>
        <w:t>2007</w:t>
      </w:r>
      <w:r w:rsidRPr="006C5B2D">
        <w:rPr>
          <w:rFonts w:eastAsiaTheme="minorEastAsia"/>
        </w:rPr>
        <w:t xml:space="preserve">, </w:t>
      </w:r>
      <w:r w:rsidRPr="006C5B2D">
        <w:rPr>
          <w:rFonts w:ascii="Arial" w:eastAsiaTheme="minorEastAsia" w:hAnsi="Arial" w:cs="Arial"/>
        </w:rPr>
        <w:t xml:space="preserve">137, </w:t>
      </w:r>
      <w:r w:rsidRPr="006C5B2D">
        <w:rPr>
          <w:rFonts w:eastAsiaTheme="minorEastAsia"/>
        </w:rPr>
        <w:t>1815-1820.</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rPr>
        <w:t xml:space="preserve">Masset, G.; Soler, L.G.; Vieux, F.; Darmon, N. Identifying sustainable foods: the relationship between environmental impact, nutritional quality, and prices of foods representative of the French diet. </w:t>
      </w:r>
      <w:r w:rsidRPr="006C5B2D">
        <w:rPr>
          <w:rFonts w:eastAsiaTheme="minorEastAsia"/>
          <w:i/>
        </w:rPr>
        <w:t xml:space="preserve">J Acad. Nutr Diet. </w:t>
      </w:r>
      <w:r w:rsidRPr="006C5B2D">
        <w:rPr>
          <w:rFonts w:ascii="Arial" w:eastAsiaTheme="minorEastAsia" w:hAnsi="Arial" w:cs="Arial"/>
        </w:rPr>
        <w:t>2014</w:t>
      </w:r>
      <w:r w:rsidRPr="006C5B2D">
        <w:rPr>
          <w:rFonts w:eastAsiaTheme="minorEastAsia"/>
        </w:rPr>
        <w:t xml:space="preserve">, </w:t>
      </w:r>
      <w:r w:rsidRPr="006C5B2D">
        <w:rPr>
          <w:rFonts w:ascii="Arial" w:eastAsiaTheme="minorEastAsia" w:hAnsi="Arial" w:cs="Arial"/>
        </w:rPr>
        <w:t xml:space="preserve">114, </w:t>
      </w:r>
      <w:r w:rsidRPr="006C5B2D">
        <w:rPr>
          <w:rFonts w:eastAsiaTheme="minorEastAsia"/>
        </w:rPr>
        <w:t>862-869.</w:t>
      </w:r>
    </w:p>
    <w:p w:rsidR="00713620" w:rsidRPr="006C5B2D" w:rsidRDefault="00713620" w:rsidP="00713620">
      <w:pPr>
        <w:pStyle w:val="MDPI71References"/>
        <w:numPr>
          <w:ilvl w:val="0"/>
          <w:numId w:val="15"/>
        </w:numPr>
        <w:ind w:left="425" w:hanging="425"/>
        <w:rPr>
          <w:rFonts w:eastAsiaTheme="minorEastAsia"/>
          <w:lang w:val="fr-FR"/>
        </w:rPr>
      </w:pPr>
      <w:r w:rsidRPr="006C5B2D">
        <w:rPr>
          <w:rFonts w:eastAsiaTheme="minorEastAsia"/>
        </w:rPr>
        <w:t xml:space="preserve">Tilman, D.; Clark, M. Global diets link environmental sustainability and human health. </w:t>
      </w:r>
      <w:r w:rsidRPr="006C5B2D">
        <w:rPr>
          <w:rFonts w:eastAsiaTheme="minorEastAsia"/>
          <w:i/>
          <w:lang w:val="fr-FR"/>
        </w:rPr>
        <w:t xml:space="preserve">Nature. </w:t>
      </w:r>
      <w:r w:rsidRPr="006C5B2D">
        <w:rPr>
          <w:rFonts w:ascii="Arial" w:eastAsiaTheme="minorEastAsia" w:hAnsi="Arial" w:cs="Arial"/>
          <w:lang w:val="fr-FR"/>
        </w:rPr>
        <w:t>2014</w:t>
      </w:r>
      <w:r w:rsidRPr="006C5B2D">
        <w:rPr>
          <w:rFonts w:eastAsiaTheme="minorEastAsia"/>
          <w:lang w:val="fr-FR"/>
        </w:rPr>
        <w:t xml:space="preserve">, </w:t>
      </w:r>
      <w:r w:rsidRPr="006C5B2D">
        <w:rPr>
          <w:rFonts w:ascii="Arial" w:eastAsiaTheme="minorEastAsia" w:hAnsi="Arial" w:cs="Arial"/>
          <w:lang w:val="fr-FR"/>
        </w:rPr>
        <w:t xml:space="preserve">515, </w:t>
      </w:r>
      <w:r w:rsidRPr="006C5B2D">
        <w:rPr>
          <w:rFonts w:eastAsiaTheme="minorEastAsia"/>
          <w:lang w:val="fr-FR"/>
        </w:rPr>
        <w:t>518-522.</w:t>
      </w:r>
    </w:p>
    <w:p w:rsidR="00713620" w:rsidRPr="006C5B2D" w:rsidRDefault="00713620" w:rsidP="00713620">
      <w:pPr>
        <w:pStyle w:val="MDPI71References"/>
        <w:numPr>
          <w:ilvl w:val="0"/>
          <w:numId w:val="15"/>
        </w:numPr>
        <w:ind w:left="425" w:hanging="425"/>
        <w:rPr>
          <w:rFonts w:ascii="Arial" w:eastAsiaTheme="minorEastAsia" w:hAnsi="Arial" w:cs="Arial"/>
          <w:lang w:val="fr-FR"/>
        </w:rPr>
      </w:pPr>
      <w:r w:rsidRPr="006C5B2D">
        <w:rPr>
          <w:rFonts w:eastAsiaTheme="minorEastAsia"/>
          <w:lang w:val="fr-FR"/>
        </w:rPr>
        <w:lastRenderedPageBreak/>
        <w:t xml:space="preserve">Agence de l'environnement et la maîtrise de l'énergie (ADEME). Approche du coût complet des pertes et gaspillage alimentaire en restauration collective. </w:t>
      </w:r>
      <w:r w:rsidRPr="006C5B2D">
        <w:rPr>
          <w:rFonts w:eastAsiaTheme="minorEastAsia"/>
          <w:i/>
          <w:lang w:val="fr-FR"/>
        </w:rPr>
        <w:t xml:space="preserve">Rapport d'étude. </w:t>
      </w:r>
      <w:r w:rsidRPr="006C5B2D">
        <w:rPr>
          <w:rFonts w:ascii="Arial" w:eastAsiaTheme="minorEastAsia" w:hAnsi="Arial" w:cs="Arial"/>
          <w:lang w:val="fr-FR"/>
        </w:rPr>
        <w:t>2016</w:t>
      </w:r>
      <w:r w:rsidRPr="006C5B2D">
        <w:rPr>
          <w:rFonts w:eastAsiaTheme="minorEastAsia"/>
          <w:lang w:val="fr-FR"/>
        </w:rPr>
        <w:t xml:space="preserve">, </w:t>
      </w:r>
      <w:r w:rsidRPr="006C5B2D">
        <w:rPr>
          <w:rFonts w:ascii="Arial" w:eastAsiaTheme="minorEastAsia" w:hAnsi="Arial" w:cs="Arial"/>
          <w:lang w:val="fr-FR"/>
        </w:rPr>
        <w:t xml:space="preserve">Etude réalisée pour le compte de l'ADEME par VerdiCité et ClimatMundi, </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rPr>
        <w:t xml:space="preserve">Derbyshire, E.J. Flexitarian Diets and Health: A Review of the Evidence-Based Literature. </w:t>
      </w:r>
      <w:r w:rsidRPr="006C5B2D">
        <w:rPr>
          <w:rFonts w:eastAsiaTheme="minorEastAsia"/>
          <w:i/>
        </w:rPr>
        <w:t xml:space="preserve">Front Nutr. </w:t>
      </w:r>
      <w:r w:rsidRPr="006C5B2D">
        <w:rPr>
          <w:rFonts w:ascii="Arial" w:eastAsiaTheme="minorEastAsia" w:hAnsi="Arial" w:cs="Arial"/>
        </w:rPr>
        <w:t>2016</w:t>
      </w:r>
      <w:r w:rsidRPr="006C5B2D">
        <w:rPr>
          <w:rFonts w:eastAsiaTheme="minorEastAsia"/>
        </w:rPr>
        <w:t xml:space="preserve">, </w:t>
      </w:r>
      <w:r w:rsidRPr="006C5B2D">
        <w:rPr>
          <w:rFonts w:ascii="Arial" w:eastAsiaTheme="minorEastAsia" w:hAnsi="Arial" w:cs="Arial"/>
        </w:rPr>
        <w:t xml:space="preserve">3, </w:t>
      </w:r>
      <w:r w:rsidRPr="006C5B2D">
        <w:rPr>
          <w:rFonts w:eastAsiaTheme="minorEastAsia"/>
        </w:rPr>
        <w:t>55</w:t>
      </w:r>
    </w:p>
    <w:p w:rsidR="00713620" w:rsidRPr="006C5B2D" w:rsidRDefault="00713620" w:rsidP="00713620">
      <w:pPr>
        <w:pStyle w:val="MDPI71References"/>
        <w:numPr>
          <w:ilvl w:val="0"/>
          <w:numId w:val="15"/>
        </w:numPr>
        <w:ind w:left="425" w:hanging="425"/>
        <w:rPr>
          <w:rFonts w:ascii="Arial" w:eastAsiaTheme="minorEastAsia" w:hAnsi="Arial" w:cs="Arial"/>
        </w:rPr>
      </w:pPr>
      <w:r w:rsidRPr="006C5B2D">
        <w:rPr>
          <w:rFonts w:eastAsiaTheme="minorEastAsia"/>
        </w:rPr>
        <w:t xml:space="preserve">The French Information Center on Food Quality. </w:t>
      </w:r>
      <w:r w:rsidRPr="006C5B2D">
        <w:rPr>
          <w:rFonts w:ascii="Helvetica" w:eastAsiaTheme="minorEastAsia" w:hAnsi="Helvetica"/>
        </w:rPr>
        <w:t>French food composition table Ciqual 2013</w:t>
      </w:r>
      <w:r w:rsidRPr="006C5B2D">
        <w:rPr>
          <w:rFonts w:eastAsiaTheme="minorEastAsia"/>
        </w:rPr>
        <w:t xml:space="preserve">. </w:t>
      </w:r>
      <w:r w:rsidRPr="006C5B2D">
        <w:rPr>
          <w:rFonts w:eastAsiaTheme="minorEastAsia"/>
          <w:i/>
        </w:rPr>
        <w:t xml:space="preserve">[internet]. </w:t>
      </w:r>
      <w:r w:rsidRPr="006C5B2D">
        <w:rPr>
          <w:rFonts w:ascii="Arial" w:eastAsiaTheme="minorEastAsia" w:hAnsi="Arial" w:cs="Arial"/>
        </w:rPr>
        <w:t>2013</w:t>
      </w:r>
      <w:r w:rsidRPr="006C5B2D">
        <w:rPr>
          <w:rFonts w:eastAsiaTheme="minorEastAsia"/>
        </w:rPr>
        <w:t xml:space="preserve">, </w:t>
      </w:r>
      <w:r w:rsidRPr="006C5B2D">
        <w:rPr>
          <w:rFonts w:ascii="Arial" w:eastAsiaTheme="minorEastAsia" w:hAnsi="Arial" w:cs="Arial"/>
        </w:rPr>
        <w:t xml:space="preserve"> </w:t>
      </w:r>
    </w:p>
    <w:p w:rsidR="00713620" w:rsidRPr="006C5B2D" w:rsidRDefault="00713620" w:rsidP="00713620">
      <w:pPr>
        <w:pStyle w:val="MDPI71References"/>
        <w:numPr>
          <w:ilvl w:val="0"/>
          <w:numId w:val="15"/>
        </w:numPr>
        <w:ind w:left="425" w:hanging="425"/>
        <w:rPr>
          <w:rFonts w:eastAsiaTheme="minorEastAsia"/>
          <w:lang w:val="fr-FR"/>
        </w:rPr>
      </w:pPr>
      <w:r w:rsidRPr="006C5B2D">
        <w:rPr>
          <w:rFonts w:eastAsiaTheme="minorEastAsia"/>
        </w:rPr>
        <w:t xml:space="preserve">Guthrie, H.A.; Scheer, J.C. Validity of a dietary score for assessing nutrient adequacy. </w:t>
      </w:r>
      <w:r w:rsidRPr="006C5B2D">
        <w:rPr>
          <w:rFonts w:eastAsiaTheme="minorEastAsia"/>
          <w:i/>
          <w:lang w:val="fr-FR"/>
        </w:rPr>
        <w:t xml:space="preserve">J Am Diet Assoc. </w:t>
      </w:r>
      <w:r w:rsidRPr="006C5B2D">
        <w:rPr>
          <w:rFonts w:ascii="Arial" w:eastAsiaTheme="minorEastAsia" w:hAnsi="Arial" w:cs="Arial"/>
          <w:lang w:val="fr-FR"/>
        </w:rPr>
        <w:t>1981</w:t>
      </w:r>
      <w:r w:rsidRPr="006C5B2D">
        <w:rPr>
          <w:rFonts w:eastAsiaTheme="minorEastAsia"/>
          <w:lang w:val="fr-FR"/>
        </w:rPr>
        <w:t xml:space="preserve">, </w:t>
      </w:r>
      <w:r w:rsidRPr="006C5B2D">
        <w:rPr>
          <w:rFonts w:ascii="Arial" w:eastAsiaTheme="minorEastAsia" w:hAnsi="Arial" w:cs="Arial"/>
          <w:lang w:val="fr-FR"/>
        </w:rPr>
        <w:t xml:space="preserve">78, </w:t>
      </w:r>
      <w:r w:rsidRPr="006C5B2D">
        <w:rPr>
          <w:rFonts w:eastAsiaTheme="minorEastAsia"/>
          <w:lang w:val="fr-FR"/>
        </w:rPr>
        <w:t>240-245.</w:t>
      </w:r>
    </w:p>
    <w:p w:rsidR="00713620" w:rsidRPr="006C5B2D" w:rsidRDefault="00713620" w:rsidP="00713620">
      <w:pPr>
        <w:pStyle w:val="MDPI71References"/>
        <w:numPr>
          <w:ilvl w:val="0"/>
          <w:numId w:val="15"/>
        </w:numPr>
        <w:ind w:left="425" w:hanging="425"/>
        <w:rPr>
          <w:rFonts w:eastAsiaTheme="minorEastAsia"/>
          <w:lang w:val="fr-FR"/>
        </w:rPr>
      </w:pPr>
      <w:r w:rsidRPr="006C5B2D">
        <w:rPr>
          <w:rFonts w:eastAsiaTheme="minorEastAsia"/>
          <w:lang w:val="fr-FR"/>
        </w:rPr>
        <w:t xml:space="preserve">Martin,A. Apports nutritionnels conseillés pour la population française. In: Martin,A.(ed)  3e edition. Lavoisier, Paris, 2001, </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lang w:val="fr-FR"/>
        </w:rPr>
        <w:t xml:space="preserve">Ministère de l'éducation nationale de l'enseignement supérieur et de la recherche. </w:t>
      </w:r>
      <w:r w:rsidRPr="006C5B2D">
        <w:rPr>
          <w:rFonts w:ascii="Calibri" w:eastAsiaTheme="minorEastAsia" w:hAnsi="Calibri" w:cs="Calibri"/>
          <w:lang w:val="fr-FR"/>
        </w:rPr>
        <w:t xml:space="preserve">Repères et références statistiques sur les enseignements, la formation et la recherche. </w:t>
      </w:r>
      <w:r w:rsidRPr="006C5B2D">
        <w:rPr>
          <w:rFonts w:eastAsiaTheme="minorEastAsia"/>
          <w:lang w:val="fr-FR"/>
        </w:rPr>
        <w:t xml:space="preserve"> </w:t>
      </w:r>
      <w:r w:rsidRPr="006C5B2D">
        <w:rPr>
          <w:rFonts w:eastAsiaTheme="minorEastAsia"/>
          <w:i/>
        </w:rPr>
        <w:t xml:space="preserve">DEPP. </w:t>
      </w:r>
      <w:r w:rsidRPr="006C5B2D">
        <w:rPr>
          <w:rFonts w:ascii="Arial" w:eastAsiaTheme="minorEastAsia" w:hAnsi="Arial" w:cs="Arial"/>
        </w:rPr>
        <w:t>2014</w:t>
      </w:r>
      <w:r w:rsidRPr="006C5B2D">
        <w:rPr>
          <w:rFonts w:eastAsiaTheme="minorEastAsia"/>
        </w:rPr>
        <w:t xml:space="preserve">, </w:t>
      </w:r>
      <w:r w:rsidRPr="006C5B2D">
        <w:rPr>
          <w:rFonts w:ascii="Arial" w:eastAsiaTheme="minorEastAsia" w:hAnsi="Arial" w:cs="Arial"/>
        </w:rPr>
        <w:t xml:space="preserve">Paris, </w:t>
      </w:r>
      <w:r w:rsidRPr="006C5B2D">
        <w:rPr>
          <w:rFonts w:eastAsiaTheme="minorEastAsia"/>
        </w:rPr>
        <w:t>437 p</w:t>
      </w:r>
    </w:p>
    <w:p w:rsidR="00713620" w:rsidRPr="006C5B2D" w:rsidRDefault="00713620" w:rsidP="00713620">
      <w:pPr>
        <w:pStyle w:val="MDPI71References"/>
        <w:numPr>
          <w:ilvl w:val="0"/>
          <w:numId w:val="15"/>
        </w:numPr>
        <w:ind w:left="425" w:hanging="425"/>
        <w:rPr>
          <w:rFonts w:ascii="Arial" w:eastAsiaTheme="minorEastAsia" w:hAnsi="Arial" w:cs="Arial"/>
        </w:rPr>
      </w:pPr>
      <w:r w:rsidRPr="006C5B2D">
        <w:rPr>
          <w:rFonts w:eastAsiaTheme="minorEastAsia"/>
        </w:rPr>
        <w:t xml:space="preserve">WHO. Diet, nutrition and the prevention of excess weight gain and obesity. Report of a joint WHO/FAO expert consultation. </w:t>
      </w:r>
      <w:r w:rsidRPr="006C5B2D">
        <w:rPr>
          <w:rFonts w:eastAsiaTheme="minorEastAsia"/>
          <w:i/>
        </w:rPr>
        <w:t xml:space="preserve">WHO, Geneva. </w:t>
      </w:r>
      <w:r w:rsidRPr="006C5B2D">
        <w:rPr>
          <w:rFonts w:ascii="Arial" w:eastAsiaTheme="minorEastAsia" w:hAnsi="Arial" w:cs="Arial"/>
        </w:rPr>
        <w:t>2003</w:t>
      </w:r>
      <w:r w:rsidRPr="006C5B2D">
        <w:rPr>
          <w:rFonts w:eastAsiaTheme="minorEastAsia"/>
        </w:rPr>
        <w:t xml:space="preserve">, </w:t>
      </w:r>
      <w:r w:rsidRPr="006C5B2D">
        <w:rPr>
          <w:rFonts w:ascii="Arial" w:eastAsiaTheme="minorEastAsia" w:hAnsi="Arial" w:cs="Arial"/>
        </w:rPr>
        <w:t xml:space="preserve">Technical report, series 916, </w:t>
      </w:r>
    </w:p>
    <w:p w:rsidR="00713620" w:rsidRPr="006C5B2D" w:rsidRDefault="00713620" w:rsidP="00713620">
      <w:pPr>
        <w:pStyle w:val="MDPI71References"/>
        <w:numPr>
          <w:ilvl w:val="0"/>
          <w:numId w:val="15"/>
        </w:numPr>
        <w:ind w:left="425" w:hanging="425"/>
        <w:rPr>
          <w:rFonts w:eastAsiaTheme="minorEastAsia"/>
          <w:lang w:val="fr-FR"/>
        </w:rPr>
      </w:pPr>
      <w:r w:rsidRPr="006C5B2D">
        <w:rPr>
          <w:rFonts w:eastAsiaTheme="minorEastAsia"/>
        </w:rPr>
        <w:t xml:space="preserve">Drewnowski, A. Concept of a nutritious food: toward a nutrient density score. </w:t>
      </w:r>
      <w:r w:rsidRPr="006C5B2D">
        <w:rPr>
          <w:rFonts w:eastAsiaTheme="minorEastAsia"/>
          <w:i/>
          <w:lang w:val="fr-FR"/>
        </w:rPr>
        <w:t xml:space="preserve">Am. J. Clin. Nutr. </w:t>
      </w:r>
      <w:r w:rsidRPr="006C5B2D">
        <w:rPr>
          <w:rFonts w:ascii="Arial" w:eastAsiaTheme="minorEastAsia" w:hAnsi="Arial" w:cs="Arial"/>
          <w:lang w:val="fr-FR"/>
        </w:rPr>
        <w:t>2005</w:t>
      </w:r>
      <w:r w:rsidRPr="006C5B2D">
        <w:rPr>
          <w:rFonts w:eastAsiaTheme="minorEastAsia"/>
          <w:lang w:val="fr-FR"/>
        </w:rPr>
        <w:t xml:space="preserve">, </w:t>
      </w:r>
      <w:r w:rsidRPr="006C5B2D">
        <w:rPr>
          <w:rFonts w:ascii="Arial" w:eastAsiaTheme="minorEastAsia" w:hAnsi="Arial" w:cs="Arial"/>
          <w:lang w:val="fr-FR"/>
        </w:rPr>
        <w:t xml:space="preserve">82, </w:t>
      </w:r>
      <w:r w:rsidRPr="006C5B2D">
        <w:rPr>
          <w:rFonts w:eastAsiaTheme="minorEastAsia"/>
          <w:lang w:val="fr-FR"/>
        </w:rPr>
        <w:t>721-732.</w:t>
      </w:r>
    </w:p>
    <w:p w:rsidR="00713620" w:rsidRPr="006C5B2D" w:rsidRDefault="00713620" w:rsidP="00713620">
      <w:pPr>
        <w:pStyle w:val="MDPI71References"/>
        <w:numPr>
          <w:ilvl w:val="0"/>
          <w:numId w:val="15"/>
        </w:numPr>
        <w:ind w:left="425" w:hanging="425"/>
        <w:rPr>
          <w:rFonts w:eastAsiaTheme="minorEastAsia"/>
          <w:lang w:val="fr-FR"/>
        </w:rPr>
      </w:pPr>
      <w:r w:rsidRPr="006C5B2D">
        <w:rPr>
          <w:rFonts w:eastAsiaTheme="minorEastAsia"/>
          <w:lang w:val="fr-FR"/>
        </w:rPr>
        <w:t xml:space="preserve">Potier de Courcy, G.; Frelut, M.L.; Fricker, J.; Martin, A.; Dupin, H. </w:t>
      </w:r>
      <w:r w:rsidRPr="006C5B2D">
        <w:rPr>
          <w:rFonts w:ascii="Calibri" w:eastAsiaTheme="minorEastAsia" w:hAnsi="Calibri" w:cs="Calibri"/>
          <w:lang w:val="fr-FR"/>
        </w:rPr>
        <w:t>Besoins nutritionnels et apports conseillés pour la satisfaction de ces besoins</w:t>
      </w:r>
      <w:r w:rsidRPr="006C5B2D">
        <w:rPr>
          <w:rFonts w:eastAsiaTheme="minorEastAsia"/>
          <w:lang w:val="fr-FR"/>
        </w:rPr>
        <w:t xml:space="preserve">. </w:t>
      </w:r>
      <w:r w:rsidRPr="006C5B2D">
        <w:rPr>
          <w:rFonts w:eastAsiaTheme="minorEastAsia"/>
          <w:i/>
          <w:lang w:val="fr-FR"/>
        </w:rPr>
        <w:t xml:space="preserve">Encycl Médico-Chirurgicale. </w:t>
      </w:r>
      <w:r w:rsidRPr="006C5B2D">
        <w:rPr>
          <w:rFonts w:ascii="Arial" w:eastAsiaTheme="minorEastAsia" w:hAnsi="Arial" w:cs="Arial"/>
          <w:lang w:val="fr-FR"/>
        </w:rPr>
        <w:t>2003</w:t>
      </w:r>
      <w:r w:rsidRPr="006C5B2D">
        <w:rPr>
          <w:rFonts w:eastAsiaTheme="minorEastAsia"/>
          <w:lang w:val="fr-FR"/>
        </w:rPr>
        <w:t xml:space="preserve">, </w:t>
      </w:r>
      <w:r w:rsidRPr="006C5B2D">
        <w:rPr>
          <w:rFonts w:ascii="Arial" w:eastAsiaTheme="minorEastAsia" w:hAnsi="Arial" w:cs="Arial"/>
          <w:lang w:val="fr-FR"/>
        </w:rPr>
        <w:t xml:space="preserve">10, </w:t>
      </w:r>
      <w:r w:rsidRPr="006C5B2D">
        <w:rPr>
          <w:rFonts w:eastAsiaTheme="minorEastAsia"/>
          <w:lang w:val="fr-FR"/>
        </w:rPr>
        <w:t>308-32.</w:t>
      </w:r>
    </w:p>
    <w:p w:rsidR="00713620" w:rsidRPr="006C5B2D" w:rsidRDefault="00713620" w:rsidP="00713620">
      <w:pPr>
        <w:pStyle w:val="MDPI71References"/>
        <w:numPr>
          <w:ilvl w:val="0"/>
          <w:numId w:val="15"/>
        </w:numPr>
        <w:ind w:left="425" w:hanging="425"/>
        <w:rPr>
          <w:rFonts w:eastAsiaTheme="minorEastAsia"/>
          <w:lang w:val="fr-FR"/>
        </w:rPr>
      </w:pPr>
      <w:r w:rsidRPr="006C5B2D">
        <w:rPr>
          <w:rFonts w:eastAsiaTheme="minorEastAsia"/>
          <w:lang w:val="fr-FR"/>
        </w:rPr>
        <w:t xml:space="preserve">Lafay L. - "Etude Individuelle et Nationale sur les Consommations Alimentaires, INCA 2 (2006-2007)." </w:t>
      </w:r>
      <w:hyperlink r:id="rId25" w:history="1">
        <w:r w:rsidRPr="006C5B2D">
          <w:rPr>
            <w:rStyle w:val="Lienhypertexte"/>
            <w:rFonts w:eastAsiaTheme="minorEastAsia"/>
            <w:i/>
            <w:szCs w:val="18"/>
            <w:lang w:val="fr-FR"/>
          </w:rPr>
          <w:t>http://www.afssa.fr/Documents/PASER-Ra-INCA2.pdf</w:t>
        </w:r>
        <w:r w:rsidRPr="006C5B2D">
          <w:rPr>
            <w:rStyle w:val="Lienhypertexte"/>
            <w:rFonts w:eastAsiaTheme="minorEastAsia"/>
            <w:szCs w:val="18"/>
            <w:lang w:val="fr-FR"/>
          </w:rPr>
          <w:t>,</w:t>
        </w:r>
      </w:hyperlink>
      <w:r w:rsidRPr="006C5B2D">
        <w:rPr>
          <w:rFonts w:eastAsiaTheme="minorEastAsia"/>
          <w:lang w:val="fr-FR"/>
        </w:rPr>
        <w:t xml:space="preserve"> Paris, 2007. -158p</w:t>
      </w:r>
    </w:p>
    <w:p w:rsidR="00713620" w:rsidRPr="006C5B2D" w:rsidRDefault="00713620" w:rsidP="00713620">
      <w:pPr>
        <w:pStyle w:val="MDPI71References"/>
        <w:numPr>
          <w:ilvl w:val="0"/>
          <w:numId w:val="15"/>
        </w:numPr>
        <w:ind w:left="425" w:hanging="425"/>
        <w:rPr>
          <w:rFonts w:ascii="Arial" w:eastAsiaTheme="minorEastAsia" w:hAnsi="Arial" w:cs="Arial"/>
          <w:lang w:val="fr-FR"/>
        </w:rPr>
      </w:pPr>
      <w:r w:rsidRPr="006C5B2D">
        <w:rPr>
          <w:rFonts w:eastAsiaTheme="minorEastAsia"/>
          <w:lang w:val="fr-FR"/>
        </w:rPr>
        <w:t xml:space="preserve">ANSES (Agence nationale de sécurité sanitaire de l'alimentation, d.l.e.d.t. Actualisation des apports nutritionnels conseillés pour les acides gras. </w:t>
      </w:r>
      <w:r w:rsidRPr="006C5B2D">
        <w:rPr>
          <w:rFonts w:eastAsiaTheme="minorEastAsia"/>
          <w:i/>
          <w:lang w:val="fr-FR"/>
        </w:rPr>
        <w:t xml:space="preserve">Rapport d'expertise collective. </w:t>
      </w:r>
      <w:r w:rsidRPr="006C5B2D">
        <w:rPr>
          <w:rFonts w:ascii="Arial" w:eastAsiaTheme="minorEastAsia" w:hAnsi="Arial" w:cs="Arial"/>
          <w:lang w:val="fr-FR"/>
        </w:rPr>
        <w:t>2011</w:t>
      </w:r>
      <w:r w:rsidRPr="006C5B2D">
        <w:rPr>
          <w:rFonts w:eastAsiaTheme="minorEastAsia"/>
          <w:lang w:val="fr-FR"/>
        </w:rPr>
        <w:t xml:space="preserve">, </w:t>
      </w:r>
      <w:r w:rsidRPr="006C5B2D">
        <w:rPr>
          <w:rFonts w:ascii="Arial" w:eastAsiaTheme="minorEastAsia" w:hAnsi="Arial" w:cs="Arial"/>
          <w:lang w:val="fr-FR"/>
        </w:rPr>
        <w:t xml:space="preserve"> </w:t>
      </w:r>
    </w:p>
    <w:p w:rsidR="00713620" w:rsidRPr="006C5B2D" w:rsidRDefault="00713620" w:rsidP="00713620">
      <w:pPr>
        <w:pStyle w:val="MDPI71References"/>
        <w:numPr>
          <w:ilvl w:val="0"/>
          <w:numId w:val="15"/>
        </w:numPr>
        <w:ind w:left="425" w:hanging="425"/>
        <w:rPr>
          <w:rFonts w:ascii="Arial" w:eastAsiaTheme="minorEastAsia" w:hAnsi="Arial" w:cs="Arial"/>
        </w:rPr>
      </w:pPr>
      <w:r w:rsidRPr="006C5B2D">
        <w:rPr>
          <w:rFonts w:eastAsiaTheme="minorEastAsia"/>
          <w:lang w:val="fr-FR"/>
        </w:rPr>
        <w:t xml:space="preserve">Agence nationale de sécurité sanitaire de l'alimentation, d.l.e.d.t.A. Evaluation des apports en vitamines et minéraux issus de l'alimentation non enrichie, de l'alimentation enrichie et des compléments alimentaires dans la population française: estimation des apports usuels, des prévalences d'inadéquation et des risques. </w:t>
      </w:r>
      <w:r w:rsidRPr="006C5B2D">
        <w:rPr>
          <w:rFonts w:eastAsiaTheme="minorEastAsia"/>
          <w:i/>
        </w:rPr>
        <w:t xml:space="preserve">Avis de l'Anses. </w:t>
      </w:r>
      <w:r w:rsidRPr="006C5B2D">
        <w:rPr>
          <w:rFonts w:ascii="Arial" w:eastAsiaTheme="minorEastAsia" w:hAnsi="Arial" w:cs="Arial"/>
        </w:rPr>
        <w:t>2015</w:t>
      </w:r>
      <w:r w:rsidRPr="006C5B2D">
        <w:rPr>
          <w:rFonts w:eastAsiaTheme="minorEastAsia"/>
        </w:rPr>
        <w:t xml:space="preserve">, </w:t>
      </w:r>
      <w:r w:rsidRPr="006C5B2D">
        <w:rPr>
          <w:rFonts w:ascii="Arial" w:eastAsiaTheme="minorEastAsia" w:hAnsi="Arial" w:cs="Arial"/>
        </w:rPr>
        <w:t xml:space="preserve">Saisine n°2012-SA-0142, </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rPr>
        <w:t xml:space="preserve">Mallet, E.; Gaudelus, J.; Reinert, P.; Stagnara, J.; Benichou, J.; Basuyau, J.P.; Maurin, M.; Cordero, J.; Roden, A.; Uhlrich, J. [Vitamin D status in 6- to 10-year-old children: a French multicenter study in 326 children]. </w:t>
      </w:r>
      <w:r w:rsidRPr="006C5B2D">
        <w:rPr>
          <w:rFonts w:eastAsiaTheme="minorEastAsia"/>
          <w:i/>
        </w:rPr>
        <w:t xml:space="preserve">Arch. Pediatr. </w:t>
      </w:r>
      <w:r w:rsidRPr="006C5B2D">
        <w:rPr>
          <w:rFonts w:ascii="Arial" w:eastAsiaTheme="minorEastAsia" w:hAnsi="Arial" w:cs="Arial"/>
        </w:rPr>
        <w:t>2014</w:t>
      </w:r>
      <w:r w:rsidRPr="006C5B2D">
        <w:rPr>
          <w:rFonts w:eastAsiaTheme="minorEastAsia"/>
        </w:rPr>
        <w:t xml:space="preserve">, </w:t>
      </w:r>
      <w:r w:rsidRPr="006C5B2D">
        <w:rPr>
          <w:rFonts w:ascii="Arial" w:eastAsiaTheme="minorEastAsia" w:hAnsi="Arial" w:cs="Arial"/>
        </w:rPr>
        <w:t xml:space="preserve">21, </w:t>
      </w:r>
      <w:r w:rsidRPr="006C5B2D">
        <w:rPr>
          <w:rFonts w:eastAsiaTheme="minorEastAsia"/>
        </w:rPr>
        <w:t>1106-1114.</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rPr>
        <w:t xml:space="preserve">Ardzejewska, K.; Tadros, R.; Baxter, D. A descriptive study on the barriers and facilitators to implementation of the NSW (Australia) Healthy School Canteen Strategy. </w:t>
      </w:r>
      <w:r w:rsidRPr="006C5B2D">
        <w:rPr>
          <w:rFonts w:eastAsiaTheme="minorEastAsia"/>
          <w:i/>
        </w:rPr>
        <w:t xml:space="preserve">Health Education Journal. </w:t>
      </w:r>
      <w:r w:rsidRPr="006C5B2D">
        <w:rPr>
          <w:rFonts w:ascii="Arial" w:eastAsiaTheme="minorEastAsia" w:hAnsi="Arial" w:cs="Arial"/>
        </w:rPr>
        <w:t>2012</w:t>
      </w:r>
      <w:r w:rsidRPr="006C5B2D">
        <w:rPr>
          <w:rFonts w:eastAsiaTheme="minorEastAsia"/>
        </w:rPr>
        <w:t xml:space="preserve">, </w:t>
      </w:r>
      <w:r w:rsidRPr="006C5B2D">
        <w:rPr>
          <w:rFonts w:ascii="Arial" w:eastAsiaTheme="minorEastAsia" w:hAnsi="Arial" w:cs="Arial"/>
        </w:rPr>
        <w:t xml:space="preserve">72, </w:t>
      </w:r>
      <w:r w:rsidRPr="006C5B2D">
        <w:rPr>
          <w:rFonts w:eastAsiaTheme="minorEastAsia"/>
        </w:rPr>
        <w:t>136-145.</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rPr>
        <w:t xml:space="preserve">Dimbleby, H.; Vincent, J. The School Food Plan. </w:t>
      </w:r>
      <w:hyperlink r:id="rId26" w:history="1">
        <w:r w:rsidRPr="006C5B2D">
          <w:rPr>
            <w:rStyle w:val="Lienhypertexte"/>
            <w:rFonts w:eastAsiaTheme="minorEastAsia"/>
            <w:i/>
            <w:szCs w:val="18"/>
          </w:rPr>
          <w:t>http://www</w:t>
        </w:r>
      </w:hyperlink>
      <w:r w:rsidRPr="006C5B2D">
        <w:rPr>
          <w:rFonts w:eastAsiaTheme="minorEastAsia"/>
          <w:i/>
        </w:rPr>
        <w:t xml:space="preserve">. schoolfoodplan. com/wp-content/uploads/2013/07/School_Food_Plan_2013. pdf. </w:t>
      </w:r>
      <w:r w:rsidRPr="006C5B2D">
        <w:rPr>
          <w:rFonts w:ascii="Arial" w:eastAsiaTheme="minorEastAsia" w:hAnsi="Arial" w:cs="Arial"/>
        </w:rPr>
        <w:t>2013</w:t>
      </w:r>
      <w:r w:rsidRPr="006C5B2D">
        <w:rPr>
          <w:rFonts w:eastAsiaTheme="minorEastAsia"/>
        </w:rPr>
        <w:t xml:space="preserve">, </w:t>
      </w:r>
      <w:r w:rsidRPr="006C5B2D">
        <w:rPr>
          <w:rFonts w:ascii="Arial" w:eastAsiaTheme="minorEastAsia" w:hAnsi="Arial" w:cs="Arial"/>
        </w:rPr>
        <w:t xml:space="preserve"> </w:t>
      </w:r>
      <w:r w:rsidRPr="006C5B2D">
        <w:rPr>
          <w:rFonts w:eastAsiaTheme="minorEastAsia"/>
        </w:rPr>
        <w:t>July 2013</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rPr>
        <w:t>Yoong, S.L.; Nathan, N.; Wolfenden, L.; Wiggers, J.; Reilly, K.; Oldmeadow, C.; Wyse, R.; Sutherland, R.; Delaney, T.; Butler, P.</w:t>
      </w:r>
      <w:r w:rsidRPr="006C5B2D">
        <w:rPr>
          <w:rFonts w:eastAsiaTheme="minorEastAsia"/>
          <w:i/>
        </w:rPr>
        <w:t xml:space="preserve"> et al</w:t>
      </w:r>
      <w:r w:rsidRPr="006C5B2D">
        <w:rPr>
          <w:rFonts w:eastAsiaTheme="minorEastAsia"/>
        </w:rPr>
        <w:t xml:space="preserve">. CAFE: a multicomponent audit and feedback intervention to improve implementation of healthy food policy in primary school canteens: a randomised controlled trial. </w:t>
      </w:r>
      <w:r w:rsidRPr="006C5B2D">
        <w:rPr>
          <w:rFonts w:eastAsiaTheme="minorEastAsia"/>
          <w:i/>
        </w:rPr>
        <w:t xml:space="preserve">Int. J Behav. Nutr Phys. Act. </w:t>
      </w:r>
      <w:r w:rsidRPr="006C5B2D">
        <w:rPr>
          <w:rFonts w:ascii="Arial" w:eastAsiaTheme="minorEastAsia" w:hAnsi="Arial" w:cs="Arial"/>
        </w:rPr>
        <w:t>2016</w:t>
      </w:r>
      <w:r w:rsidRPr="006C5B2D">
        <w:rPr>
          <w:rFonts w:eastAsiaTheme="minorEastAsia"/>
        </w:rPr>
        <w:t xml:space="preserve">, </w:t>
      </w:r>
      <w:r w:rsidRPr="006C5B2D">
        <w:rPr>
          <w:rFonts w:ascii="Arial" w:eastAsiaTheme="minorEastAsia" w:hAnsi="Arial" w:cs="Arial"/>
        </w:rPr>
        <w:t xml:space="preserve">13, </w:t>
      </w:r>
      <w:r w:rsidRPr="006C5B2D">
        <w:rPr>
          <w:rFonts w:eastAsiaTheme="minorEastAsia"/>
        </w:rPr>
        <w:t>126</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rPr>
        <w:t xml:space="preserve">Wickramasinghe, K.K.; Rayner, M.; Goldacre, M.; Townsend, N.; Scarborough, P. Contribution of healthy and unhealthy primary school meals to greenhouse gas emissions in England: linking nutritional data and greenhouse gas emission data of diets. </w:t>
      </w:r>
      <w:r w:rsidRPr="006C5B2D">
        <w:rPr>
          <w:rFonts w:eastAsiaTheme="minorEastAsia"/>
          <w:i/>
        </w:rPr>
        <w:t xml:space="preserve">Eur. J Clin. Nutr. </w:t>
      </w:r>
      <w:r w:rsidRPr="006C5B2D">
        <w:rPr>
          <w:rFonts w:ascii="Arial" w:eastAsiaTheme="minorEastAsia" w:hAnsi="Arial" w:cs="Arial"/>
        </w:rPr>
        <w:t>2016</w:t>
      </w:r>
      <w:r w:rsidRPr="006C5B2D">
        <w:rPr>
          <w:rFonts w:eastAsiaTheme="minorEastAsia"/>
        </w:rPr>
        <w:t xml:space="preserve">, </w:t>
      </w:r>
      <w:r w:rsidRPr="006C5B2D">
        <w:rPr>
          <w:rFonts w:ascii="Arial" w:eastAsiaTheme="minorEastAsia" w:hAnsi="Arial" w:cs="Arial"/>
        </w:rPr>
        <w:t xml:space="preserve">70, </w:t>
      </w:r>
      <w:r w:rsidRPr="006C5B2D">
        <w:rPr>
          <w:rFonts w:eastAsiaTheme="minorEastAsia"/>
        </w:rPr>
        <w:t>1162-1167.</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rPr>
        <w:t xml:space="preserve">Haroun, D.; Wood, L.; Harper, C.; Nelson, M. Nutrient-based standards for school lunches complement food-based standards and improve pupils' nutrient intake profile. </w:t>
      </w:r>
      <w:r w:rsidRPr="006C5B2D">
        <w:rPr>
          <w:rFonts w:eastAsiaTheme="minorEastAsia"/>
          <w:i/>
        </w:rPr>
        <w:t xml:space="preserve">Br. J Nutr. </w:t>
      </w:r>
      <w:r w:rsidRPr="006C5B2D">
        <w:rPr>
          <w:rFonts w:ascii="Arial" w:eastAsiaTheme="minorEastAsia" w:hAnsi="Arial" w:cs="Arial"/>
        </w:rPr>
        <w:t>2011</w:t>
      </w:r>
      <w:r w:rsidRPr="006C5B2D">
        <w:rPr>
          <w:rFonts w:eastAsiaTheme="minorEastAsia"/>
        </w:rPr>
        <w:t xml:space="preserve">, </w:t>
      </w:r>
      <w:r w:rsidRPr="006C5B2D">
        <w:rPr>
          <w:rFonts w:ascii="Arial" w:eastAsiaTheme="minorEastAsia" w:hAnsi="Arial" w:cs="Arial"/>
        </w:rPr>
        <w:t xml:space="preserve">106, </w:t>
      </w:r>
      <w:r w:rsidRPr="006C5B2D">
        <w:rPr>
          <w:rFonts w:eastAsiaTheme="minorEastAsia"/>
        </w:rPr>
        <w:t>472-474.</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rPr>
        <w:t xml:space="preserve">Haroun, D.; Harper, C.; Wood, L.; Nelson, M. The impact of the food-based and nutrient-based standards on lunchtime food and drink provision and consumption in primary schools in England. </w:t>
      </w:r>
      <w:r w:rsidRPr="006C5B2D">
        <w:rPr>
          <w:rFonts w:eastAsiaTheme="minorEastAsia"/>
          <w:i/>
        </w:rPr>
        <w:t xml:space="preserve">Public Health Nutr. </w:t>
      </w:r>
      <w:r w:rsidRPr="006C5B2D">
        <w:rPr>
          <w:rFonts w:ascii="Arial" w:eastAsiaTheme="minorEastAsia" w:hAnsi="Arial" w:cs="Arial"/>
        </w:rPr>
        <w:t>2011</w:t>
      </w:r>
      <w:r w:rsidRPr="006C5B2D">
        <w:rPr>
          <w:rFonts w:eastAsiaTheme="minorEastAsia"/>
        </w:rPr>
        <w:t xml:space="preserve">, </w:t>
      </w:r>
      <w:r w:rsidRPr="006C5B2D">
        <w:rPr>
          <w:rFonts w:ascii="Arial" w:eastAsiaTheme="minorEastAsia" w:hAnsi="Arial" w:cs="Arial"/>
        </w:rPr>
        <w:t xml:space="preserve">14, </w:t>
      </w:r>
      <w:r w:rsidRPr="006C5B2D">
        <w:rPr>
          <w:rFonts w:eastAsiaTheme="minorEastAsia"/>
        </w:rPr>
        <w:t>209-218.</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rPr>
        <w:t xml:space="preserve">Gibson, R.S. The role of diet- and host-related factors in nutrient bioavailability and thus in nutrient-based dietary requirement estimates. </w:t>
      </w:r>
      <w:r w:rsidRPr="006C5B2D">
        <w:rPr>
          <w:rFonts w:eastAsiaTheme="minorEastAsia"/>
          <w:i/>
        </w:rPr>
        <w:t xml:space="preserve">Food Nutr Bull. </w:t>
      </w:r>
      <w:r w:rsidRPr="006C5B2D">
        <w:rPr>
          <w:rFonts w:ascii="Arial" w:eastAsiaTheme="minorEastAsia" w:hAnsi="Arial" w:cs="Arial"/>
        </w:rPr>
        <w:t>2007</w:t>
      </w:r>
      <w:r w:rsidRPr="006C5B2D">
        <w:rPr>
          <w:rFonts w:eastAsiaTheme="minorEastAsia"/>
        </w:rPr>
        <w:t xml:space="preserve">, </w:t>
      </w:r>
      <w:r w:rsidRPr="006C5B2D">
        <w:rPr>
          <w:rFonts w:ascii="Arial" w:eastAsiaTheme="minorEastAsia" w:hAnsi="Arial" w:cs="Arial"/>
        </w:rPr>
        <w:t xml:space="preserve">28, </w:t>
      </w:r>
      <w:r w:rsidRPr="006C5B2D">
        <w:rPr>
          <w:rFonts w:eastAsiaTheme="minorEastAsia"/>
        </w:rPr>
        <w:t>S77-100.</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rPr>
        <w:t xml:space="preserve">Millward, D.J.; Garnett, T. Plenary Lecture 3: Food and the planet: nutritional dilemmas of greenhouse gas emission reductions through reduced intakes of meat and dairy foods. </w:t>
      </w:r>
      <w:r w:rsidRPr="006C5B2D">
        <w:rPr>
          <w:rFonts w:eastAsiaTheme="minorEastAsia"/>
          <w:i/>
        </w:rPr>
        <w:t xml:space="preserve">Proc. Nutr Soc. </w:t>
      </w:r>
      <w:r w:rsidRPr="006C5B2D">
        <w:rPr>
          <w:rFonts w:ascii="Arial" w:eastAsiaTheme="minorEastAsia" w:hAnsi="Arial" w:cs="Arial"/>
        </w:rPr>
        <w:t>2010</w:t>
      </w:r>
      <w:r w:rsidRPr="006C5B2D">
        <w:rPr>
          <w:rFonts w:eastAsiaTheme="minorEastAsia"/>
        </w:rPr>
        <w:t xml:space="preserve">, </w:t>
      </w:r>
      <w:r w:rsidRPr="006C5B2D">
        <w:rPr>
          <w:rFonts w:ascii="Arial" w:eastAsiaTheme="minorEastAsia" w:hAnsi="Arial" w:cs="Arial"/>
        </w:rPr>
        <w:t xml:space="preserve">69, </w:t>
      </w:r>
      <w:r w:rsidRPr="006C5B2D">
        <w:rPr>
          <w:rFonts w:eastAsiaTheme="minorEastAsia"/>
        </w:rPr>
        <w:t>103-118.</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rPr>
        <w:t xml:space="preserve">Vieux, F.; Darmon, N.; Touazi, D.; Soler, L.G. </w:t>
      </w:r>
      <w:r w:rsidRPr="006C5B2D">
        <w:rPr>
          <w:rFonts w:ascii="AdvTT5235d5a9" w:eastAsiaTheme="minorEastAsia" w:hAnsi="AdvTT5235d5a9"/>
        </w:rPr>
        <w:t>Greenhouse gas emissions of self-selected individual diets in France: Changing the diet structure or consuming less?</w:t>
      </w:r>
      <w:r w:rsidRPr="006C5B2D">
        <w:rPr>
          <w:rFonts w:eastAsiaTheme="minorEastAsia"/>
        </w:rPr>
        <w:t xml:space="preserve"> </w:t>
      </w:r>
      <w:r w:rsidRPr="006C5B2D">
        <w:rPr>
          <w:rFonts w:eastAsiaTheme="minorEastAsia"/>
          <w:i/>
        </w:rPr>
        <w:t xml:space="preserve">Ecol Econ. </w:t>
      </w:r>
      <w:r w:rsidRPr="006C5B2D">
        <w:rPr>
          <w:rFonts w:ascii="Arial" w:eastAsiaTheme="minorEastAsia" w:hAnsi="Arial" w:cs="Arial"/>
        </w:rPr>
        <w:t>2012</w:t>
      </w:r>
      <w:r w:rsidRPr="006C5B2D">
        <w:rPr>
          <w:rFonts w:eastAsiaTheme="minorEastAsia"/>
        </w:rPr>
        <w:t xml:space="preserve">, </w:t>
      </w:r>
      <w:r w:rsidRPr="006C5B2D">
        <w:rPr>
          <w:rFonts w:ascii="Arial" w:eastAsiaTheme="minorEastAsia" w:hAnsi="Arial" w:cs="Arial"/>
        </w:rPr>
        <w:t xml:space="preserve">75, </w:t>
      </w:r>
      <w:r w:rsidRPr="006C5B2D">
        <w:rPr>
          <w:rFonts w:eastAsiaTheme="minorEastAsia"/>
        </w:rPr>
        <w:t>91-101.</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rPr>
        <w:lastRenderedPageBreak/>
        <w:t xml:space="preserve">Payne, C.L.; Scarborough, P.; Cobiac, L. Do low-carbon-emission diets lead to higher nutritional quality and positive health outcomes? A systematic review of the literature. </w:t>
      </w:r>
      <w:r w:rsidRPr="006C5B2D">
        <w:rPr>
          <w:rFonts w:eastAsiaTheme="minorEastAsia"/>
          <w:i/>
        </w:rPr>
        <w:t xml:space="preserve">Public Health Nutr. </w:t>
      </w:r>
      <w:r w:rsidRPr="006C5B2D">
        <w:rPr>
          <w:rFonts w:ascii="Arial" w:eastAsiaTheme="minorEastAsia" w:hAnsi="Arial" w:cs="Arial"/>
        </w:rPr>
        <w:t>2016</w:t>
      </w:r>
      <w:r w:rsidRPr="006C5B2D">
        <w:rPr>
          <w:rFonts w:eastAsiaTheme="minorEastAsia"/>
        </w:rPr>
        <w:t xml:space="preserve">, </w:t>
      </w:r>
      <w:r w:rsidRPr="006C5B2D">
        <w:rPr>
          <w:rFonts w:ascii="Arial" w:eastAsiaTheme="minorEastAsia" w:hAnsi="Arial" w:cs="Arial"/>
        </w:rPr>
        <w:t xml:space="preserve">19, </w:t>
      </w:r>
      <w:r w:rsidRPr="006C5B2D">
        <w:rPr>
          <w:rFonts w:eastAsiaTheme="minorEastAsia"/>
        </w:rPr>
        <w:t>2654-2661.</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rPr>
        <w:t xml:space="preserve">Seves, S.M.; Verkaik-Kloosterman, J.; Biesbroek, S.; Temme, E.H. Are more environmentally sustainable diets with less meat and dairy nutritionally adequate? </w:t>
      </w:r>
      <w:r w:rsidRPr="006C5B2D">
        <w:rPr>
          <w:rFonts w:eastAsiaTheme="minorEastAsia"/>
          <w:i/>
        </w:rPr>
        <w:t xml:space="preserve">Public Health Nutr. </w:t>
      </w:r>
      <w:r w:rsidRPr="006C5B2D">
        <w:rPr>
          <w:rFonts w:ascii="Arial" w:eastAsiaTheme="minorEastAsia" w:hAnsi="Arial" w:cs="Arial"/>
        </w:rPr>
        <w:t>2017</w:t>
      </w:r>
      <w:r w:rsidRPr="006C5B2D">
        <w:rPr>
          <w:rFonts w:eastAsiaTheme="minorEastAsia"/>
        </w:rPr>
        <w:t xml:space="preserve">, </w:t>
      </w:r>
      <w:r w:rsidRPr="006C5B2D">
        <w:rPr>
          <w:rFonts w:ascii="Arial" w:eastAsiaTheme="minorEastAsia" w:hAnsi="Arial" w:cs="Arial"/>
        </w:rPr>
        <w:t xml:space="preserve">20, </w:t>
      </w:r>
      <w:r w:rsidRPr="006C5B2D">
        <w:rPr>
          <w:rFonts w:eastAsiaTheme="minorEastAsia"/>
        </w:rPr>
        <w:t>2050-2062.</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rPr>
        <w:t>Niebylski, M.L.; Lu, T.; Campbell, N.R.; Arcand, J.; Schermel, A.; Hua, D.; Yeates, K.E.; Tobe, S.W.; Twohig, P.A.; L'Abbe, M.R.</w:t>
      </w:r>
      <w:r w:rsidRPr="006C5B2D">
        <w:rPr>
          <w:rFonts w:eastAsiaTheme="minorEastAsia"/>
          <w:i/>
        </w:rPr>
        <w:t xml:space="preserve"> et al</w:t>
      </w:r>
      <w:r w:rsidRPr="006C5B2D">
        <w:rPr>
          <w:rFonts w:eastAsiaTheme="minorEastAsia"/>
        </w:rPr>
        <w:t xml:space="preserve">. Healthy food procurement policies and their impact. </w:t>
      </w:r>
      <w:r w:rsidRPr="006C5B2D">
        <w:rPr>
          <w:rFonts w:eastAsiaTheme="minorEastAsia"/>
          <w:i/>
        </w:rPr>
        <w:t xml:space="preserve">Int. J Environ. Res. Public Health. </w:t>
      </w:r>
      <w:r w:rsidRPr="006C5B2D">
        <w:rPr>
          <w:rFonts w:ascii="Arial" w:eastAsiaTheme="minorEastAsia" w:hAnsi="Arial" w:cs="Arial"/>
        </w:rPr>
        <w:t>2014</w:t>
      </w:r>
      <w:r w:rsidRPr="006C5B2D">
        <w:rPr>
          <w:rFonts w:eastAsiaTheme="minorEastAsia"/>
        </w:rPr>
        <w:t xml:space="preserve">, </w:t>
      </w:r>
      <w:r w:rsidRPr="006C5B2D">
        <w:rPr>
          <w:rFonts w:ascii="Arial" w:eastAsiaTheme="minorEastAsia" w:hAnsi="Arial" w:cs="Arial"/>
        </w:rPr>
        <w:t xml:space="preserve">11, </w:t>
      </w:r>
      <w:r w:rsidRPr="006C5B2D">
        <w:rPr>
          <w:rFonts w:eastAsiaTheme="minorEastAsia"/>
        </w:rPr>
        <w:t>2608-2627.</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rPr>
        <w:t xml:space="preserve">Wang, D.; Stewart, D. The implementation and effectiveness of school-based nutrition promotion programmes using a health-promoting schools approach: a systematic review. </w:t>
      </w:r>
      <w:r w:rsidRPr="006C5B2D">
        <w:rPr>
          <w:rFonts w:eastAsiaTheme="minorEastAsia"/>
          <w:i/>
        </w:rPr>
        <w:t xml:space="preserve">Public Health Nutr. </w:t>
      </w:r>
      <w:r w:rsidRPr="006C5B2D">
        <w:rPr>
          <w:rFonts w:ascii="Arial" w:eastAsiaTheme="minorEastAsia" w:hAnsi="Arial" w:cs="Arial"/>
        </w:rPr>
        <w:t>2013</w:t>
      </w:r>
      <w:r w:rsidRPr="006C5B2D">
        <w:rPr>
          <w:rFonts w:eastAsiaTheme="minorEastAsia"/>
        </w:rPr>
        <w:t xml:space="preserve">, </w:t>
      </w:r>
      <w:r w:rsidRPr="006C5B2D">
        <w:rPr>
          <w:rFonts w:ascii="Arial" w:eastAsiaTheme="minorEastAsia" w:hAnsi="Arial" w:cs="Arial"/>
        </w:rPr>
        <w:t xml:space="preserve">16, </w:t>
      </w:r>
      <w:r w:rsidRPr="006C5B2D">
        <w:rPr>
          <w:rFonts w:eastAsiaTheme="minorEastAsia"/>
        </w:rPr>
        <w:t>1082-1100.</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rPr>
        <w:t xml:space="preserve">Perignon, M.; Barre, T.; Gazan, R.; Amiot, M.J.; Darmon, N. The bioavailability of iron, zinc, protein and vitamin A is highly variable in French individual diets: Impact on nutrient inadequacy assessment and relation with the animal-to-plant ratio of diets. </w:t>
      </w:r>
      <w:r w:rsidRPr="006C5B2D">
        <w:rPr>
          <w:rFonts w:eastAsiaTheme="minorEastAsia"/>
          <w:i/>
        </w:rPr>
        <w:t xml:space="preserve">Food Chem. </w:t>
      </w:r>
      <w:r w:rsidRPr="006C5B2D">
        <w:rPr>
          <w:rFonts w:ascii="Arial" w:eastAsiaTheme="minorEastAsia" w:hAnsi="Arial" w:cs="Arial"/>
        </w:rPr>
        <w:t>2018</w:t>
      </w:r>
      <w:r w:rsidRPr="006C5B2D">
        <w:rPr>
          <w:rFonts w:eastAsiaTheme="minorEastAsia"/>
        </w:rPr>
        <w:t xml:space="preserve">, </w:t>
      </w:r>
      <w:r w:rsidRPr="006C5B2D">
        <w:rPr>
          <w:rFonts w:ascii="Arial" w:eastAsiaTheme="minorEastAsia" w:hAnsi="Arial" w:cs="Arial"/>
        </w:rPr>
        <w:t xml:space="preserve">238, </w:t>
      </w:r>
      <w:r w:rsidRPr="006C5B2D">
        <w:rPr>
          <w:rFonts w:eastAsiaTheme="minorEastAsia"/>
        </w:rPr>
        <w:t>73-81.</w:t>
      </w:r>
    </w:p>
    <w:p w:rsidR="00713620" w:rsidRPr="006C5B2D" w:rsidRDefault="00713620" w:rsidP="00713620">
      <w:pPr>
        <w:pStyle w:val="MDPI71References"/>
        <w:numPr>
          <w:ilvl w:val="0"/>
          <w:numId w:val="15"/>
        </w:numPr>
        <w:ind w:left="425" w:hanging="425"/>
        <w:rPr>
          <w:rFonts w:eastAsiaTheme="minorEastAsia"/>
        </w:rPr>
      </w:pPr>
      <w:r w:rsidRPr="006C5B2D">
        <w:rPr>
          <w:rFonts w:eastAsiaTheme="minorEastAsia"/>
        </w:rPr>
        <w:t xml:space="preserve">Bertin, M.; Lafay, L.; Calamassi-Tran, G.; Volatier, J.L.; Dubuisson, C. School meals in French secondary state schools: do national recommendations lead to healthier nutrition on offer? </w:t>
      </w:r>
      <w:r w:rsidRPr="006C5B2D">
        <w:rPr>
          <w:rFonts w:eastAsiaTheme="minorEastAsia"/>
          <w:i/>
        </w:rPr>
        <w:t xml:space="preserve">Br. J Nutr. </w:t>
      </w:r>
      <w:r w:rsidRPr="006C5B2D">
        <w:rPr>
          <w:rFonts w:ascii="Arial" w:eastAsiaTheme="minorEastAsia" w:hAnsi="Arial" w:cs="Arial"/>
        </w:rPr>
        <w:t>2012</w:t>
      </w:r>
      <w:r w:rsidRPr="006C5B2D">
        <w:rPr>
          <w:rFonts w:eastAsiaTheme="minorEastAsia"/>
        </w:rPr>
        <w:t xml:space="preserve">, </w:t>
      </w:r>
      <w:r w:rsidRPr="006C5B2D">
        <w:rPr>
          <w:rFonts w:ascii="Arial" w:eastAsiaTheme="minorEastAsia" w:hAnsi="Arial" w:cs="Arial"/>
        </w:rPr>
        <w:t xml:space="preserve">107, </w:t>
      </w:r>
      <w:r w:rsidRPr="006C5B2D">
        <w:rPr>
          <w:rFonts w:eastAsiaTheme="minorEastAsia"/>
        </w:rPr>
        <w:t>416-427.</w:t>
      </w:r>
    </w:p>
    <w:p w:rsidR="00713620" w:rsidRDefault="00713620" w:rsidP="00713620">
      <w:pPr>
        <w:pStyle w:val="MDPI71References"/>
        <w:numPr>
          <w:ilvl w:val="0"/>
          <w:numId w:val="15"/>
        </w:numPr>
        <w:ind w:left="425" w:hanging="425"/>
        <w:rPr>
          <w:rFonts w:eastAsiaTheme="minorEastAsia"/>
        </w:rPr>
      </w:pPr>
      <w:r w:rsidRPr="006C5B2D">
        <w:rPr>
          <w:rFonts w:eastAsiaTheme="minorEastAsia"/>
        </w:rPr>
        <w:t xml:space="preserve">Nicholas, J.; Wood, L.; Harper, C.; Nelson, M. The impact of the food-based and nutrient-based standards on lunchtime food and drink provision and consumption in secondary schools in England. </w:t>
      </w:r>
      <w:r w:rsidRPr="006C5B2D">
        <w:rPr>
          <w:rFonts w:eastAsiaTheme="minorEastAsia"/>
          <w:i/>
        </w:rPr>
        <w:t xml:space="preserve">Public Health Nutr. </w:t>
      </w:r>
      <w:r w:rsidRPr="006C5B2D">
        <w:rPr>
          <w:rFonts w:ascii="Arial" w:eastAsiaTheme="minorEastAsia" w:hAnsi="Arial" w:cs="Arial"/>
        </w:rPr>
        <w:t>2013</w:t>
      </w:r>
      <w:r w:rsidRPr="006C5B2D">
        <w:rPr>
          <w:rFonts w:eastAsiaTheme="minorEastAsia"/>
        </w:rPr>
        <w:t xml:space="preserve">, </w:t>
      </w:r>
      <w:r w:rsidRPr="006C5B2D">
        <w:rPr>
          <w:rFonts w:ascii="Arial" w:eastAsiaTheme="minorEastAsia" w:hAnsi="Arial" w:cs="Arial"/>
        </w:rPr>
        <w:t xml:space="preserve">16, </w:t>
      </w:r>
      <w:r w:rsidRPr="006C5B2D">
        <w:rPr>
          <w:rFonts w:eastAsiaTheme="minorEastAsia"/>
        </w:rPr>
        <w:t>1052-1065.</w:t>
      </w:r>
    </w:p>
    <w:p w:rsidR="00634A9A" w:rsidRPr="004C2008" w:rsidRDefault="00713620" w:rsidP="00713620">
      <w:pPr>
        <w:adjustRightInd w:val="0"/>
        <w:snapToGrid w:val="0"/>
        <w:spacing w:before="240" w:line="260" w:lineRule="atLeast"/>
        <w:ind w:left="425" w:hanging="425"/>
        <w:rPr>
          <w:rFonts w:ascii="Palatino Linotype" w:eastAsiaTheme="minorEastAsia" w:hAnsi="Palatino Linotype"/>
          <w:sz w:val="18"/>
          <w:szCs w:val="18"/>
          <w:lang w:val="en-US"/>
        </w:rPr>
      </w:pPr>
      <w:r w:rsidRPr="00BD32C3">
        <w:rPr>
          <w:rFonts w:ascii="Palatino Linotype" w:hAnsi="Palatino Linotype"/>
          <w:noProof/>
          <w:snapToGrid w:val="0"/>
          <w:sz w:val="18"/>
          <w:szCs w:val="18"/>
          <w:lang w:eastAsia="fr-FR"/>
        </w:rPr>
        <w:drawing>
          <wp:anchor distT="0" distB="0" distL="114300" distR="114300" simplePos="0" relativeHeight="251659264" behindDoc="1" locked="0" layoutInCell="1" allowOverlap="1">
            <wp:simplePos x="0" y="0"/>
            <wp:positionH relativeFrom="margin">
              <wp:align>left</wp:align>
            </wp:positionH>
            <wp:positionV relativeFrom="paragraph">
              <wp:posOffset>217682</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r w:rsidR="00FF17D2">
        <w:rPr>
          <w:rFonts w:eastAsiaTheme="minorEastAsia"/>
        </w:rPr>
        <w:fldChar w:fldCharType="end"/>
      </w:r>
      <w:r w:rsidR="00376C3B" w:rsidRPr="004C2008">
        <w:rPr>
          <w:rFonts w:ascii="Palatino Linotype" w:hAnsi="Palatino Linotype"/>
          <w:snapToGrid w:val="0"/>
          <w:sz w:val="18"/>
          <w:szCs w:val="18"/>
          <w:lang w:val="en-US" w:bidi="en-US"/>
        </w:rPr>
        <w:t xml:space="preserve">© 2017 by the authors. Submitted for possible open access publication under the </w:t>
      </w:r>
      <w:r w:rsidR="00376C3B" w:rsidRPr="004C2008">
        <w:rPr>
          <w:rFonts w:ascii="Palatino Linotype" w:hAnsi="Palatino Linotype"/>
          <w:snapToGrid w:val="0"/>
          <w:sz w:val="18"/>
          <w:szCs w:val="18"/>
          <w:lang w:val="en-US" w:bidi="en-US"/>
        </w:rPr>
        <w:br/>
        <w:t>terms and conditions of the Creative Commons Attribution (CC BY) license (http://creativecommons.org/licenses/by/4.0/).</w:t>
      </w:r>
    </w:p>
    <w:sectPr w:rsidR="00634A9A" w:rsidRPr="004C2008" w:rsidSect="00213276">
      <w:headerReference w:type="even" r:id="rId28"/>
      <w:headerReference w:type="default" r:id="rId29"/>
      <w:footerReference w:type="default" r:id="rId30"/>
      <w:headerReference w:type="first" r:id="rId31"/>
      <w:footerReference w:type="first" r:id="rId32"/>
      <w:type w:val="continuous"/>
      <w:pgSz w:w="11906" w:h="16838" w:code="9"/>
      <w:pgMar w:top="1417" w:right="1531" w:bottom="1077" w:left="1531" w:header="1020" w:footer="850" w:gutter="0"/>
      <w:lnNumType w:countBy="1"/>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B8" w:rsidRDefault="00250BB8" w:rsidP="00C1340D">
      <w:r>
        <w:separator/>
      </w:r>
    </w:p>
  </w:endnote>
  <w:endnote w:type="continuationSeparator" w:id="0">
    <w:p w:rsidR="00250BB8" w:rsidRDefault="00250BB8" w:rsidP="00C1340D">
      <w:r>
        <w:continuationSeparator/>
      </w:r>
    </w:p>
  </w:endnote>
  <w:endnote w:type="continuationNotice" w:id="1">
    <w:p w:rsidR="00250BB8" w:rsidRDefault="00250B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useo300-Regular">
    <w:altName w:val="Times New Roman"/>
    <w:panose1 w:val="00000000000000000000"/>
    <w:charset w:val="00"/>
    <w:family w:val="roman"/>
    <w:notTrueType/>
    <w:pitch w:val="default"/>
  </w:font>
  <w:font w:name="AdvM2701">
    <w:altName w:val="Times New Roman"/>
    <w:panose1 w:val="00000000000000000000"/>
    <w:charset w:val="00"/>
    <w:family w:val="roman"/>
    <w:notTrueType/>
    <w:pitch w:val="default"/>
  </w:font>
  <w:font w:name="AdvP4C4E74">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dvTT5235d5a9">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6B" w:rsidRPr="00885BB0" w:rsidRDefault="00B00E6B" w:rsidP="00885BB0">
    <w:pPr>
      <w:pStyle w:val="Pieddepage"/>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717389558"/>
      <w:docPartObj>
        <w:docPartGallery w:val="Page Numbers (Top of Page)"/>
        <w:docPartUnique/>
      </w:docPartObj>
    </w:sdtPr>
    <w:sdtEndPr>
      <w:rPr>
        <w:i w:val="0"/>
      </w:rPr>
    </w:sdtEndPr>
    <w:sdtContent>
      <w:p w:rsidR="00B00E6B" w:rsidRPr="004C06D2" w:rsidRDefault="00B00E6B" w:rsidP="0083073D">
        <w:pPr>
          <w:pStyle w:val="MDPIfooterfirstpage"/>
          <w:spacing w:line="240" w:lineRule="auto"/>
          <w:jc w:val="both"/>
        </w:pPr>
        <w:r w:rsidRPr="00141586">
          <w:rPr>
            <w:i/>
            <w:szCs w:val="16"/>
          </w:rPr>
          <w:t>Nutrients</w:t>
        </w:r>
        <w:r w:rsidRPr="00A70616">
          <w:rPr>
            <w:iCs/>
            <w:szCs w:val="16"/>
          </w:rPr>
          <w:t xml:space="preserve"> </w:t>
        </w:r>
        <w:r w:rsidRPr="00A70616">
          <w:rPr>
            <w:b/>
            <w:bCs/>
            <w:iCs/>
            <w:szCs w:val="16"/>
          </w:rPr>
          <w:t>201</w:t>
        </w:r>
        <w:r>
          <w:rPr>
            <w:rFonts w:eastAsia="SimSun"/>
            <w:b/>
            <w:bCs/>
            <w:iCs/>
            <w:szCs w:val="16"/>
            <w:lang w:eastAsia="zh-CN"/>
          </w:rPr>
          <w:t>7</w:t>
        </w:r>
        <w:r w:rsidRPr="00A70616">
          <w:rPr>
            <w:iCs/>
            <w:szCs w:val="16"/>
          </w:rPr>
          <w:t xml:space="preserve">, </w:t>
        </w:r>
        <w:r>
          <w:rPr>
            <w:rFonts w:eastAsia="SimSun"/>
            <w:i/>
            <w:iCs/>
            <w:szCs w:val="16"/>
            <w:lang w:eastAsia="zh-CN"/>
          </w:rPr>
          <w:t>9</w:t>
        </w:r>
        <w:r w:rsidRPr="00A70616">
          <w:rPr>
            <w:iCs/>
            <w:szCs w:val="16"/>
          </w:rPr>
          <w:t>,</w:t>
        </w:r>
        <w:r w:rsidRPr="004C06D2">
          <w:rPr>
            <w:szCs w:val="16"/>
          </w:rPr>
          <w:t xml:space="preserve"> </w:t>
        </w:r>
        <w:r w:rsidRPr="004C06D2">
          <w:t>x; doi:</w:t>
        </w:r>
        <w:r w:rsidRPr="008C018C">
          <w:rPr>
            <w:szCs w:val="16"/>
            <w:lang w:val="en-GB"/>
          </w:rPr>
          <w:t xml:space="preserve"> </w:t>
        </w:r>
        <w:r>
          <w:rPr>
            <w:szCs w:val="16"/>
            <w:lang w:val="en-GB"/>
          </w:rPr>
          <w:t xml:space="preserve">FOR PEER REVIEW </w:t>
        </w:r>
        <w:r w:rsidRPr="004C06D2">
          <w:tab/>
          <w:t>www.mdpi.com/journal/</w:t>
        </w:r>
        <w:r>
          <w:t>nutrients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B8" w:rsidRDefault="00250BB8" w:rsidP="00C1340D">
      <w:r>
        <w:separator/>
      </w:r>
    </w:p>
  </w:footnote>
  <w:footnote w:type="continuationSeparator" w:id="0">
    <w:p w:rsidR="00250BB8" w:rsidRDefault="00250BB8" w:rsidP="00C1340D">
      <w:r>
        <w:continuationSeparator/>
      </w:r>
    </w:p>
  </w:footnote>
  <w:footnote w:type="continuationNotice" w:id="1">
    <w:p w:rsidR="00250BB8" w:rsidRDefault="00250BB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6B" w:rsidRDefault="00B00E6B" w:rsidP="00225F3F">
    <w:pPr>
      <w:pStyle w:val="En-tt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6B" w:rsidRPr="004C2008" w:rsidRDefault="00B00E6B" w:rsidP="00310EBF">
    <w:pPr>
      <w:adjustRightInd w:val="0"/>
      <w:snapToGrid w:val="0"/>
      <w:spacing w:after="240" w:line="240" w:lineRule="auto"/>
      <w:rPr>
        <w:rFonts w:ascii="Palatino Linotype" w:hAnsi="Palatino Linotype"/>
        <w:sz w:val="16"/>
        <w:lang w:val="en-US"/>
      </w:rPr>
    </w:pPr>
    <w:r w:rsidRPr="004C2008">
      <w:rPr>
        <w:rFonts w:ascii="Palatino Linotype" w:hAnsi="Palatino Linotype"/>
        <w:i/>
        <w:sz w:val="16"/>
        <w:lang w:val="en-US"/>
      </w:rPr>
      <w:t xml:space="preserve">Nutrients </w:t>
    </w:r>
    <w:r w:rsidRPr="004C2008">
      <w:rPr>
        <w:rFonts w:ascii="Palatino Linotype" w:hAnsi="Palatino Linotype"/>
        <w:b/>
        <w:sz w:val="16"/>
        <w:lang w:val="en-US"/>
      </w:rPr>
      <w:t>2017</w:t>
    </w:r>
    <w:r w:rsidRPr="004C2008">
      <w:rPr>
        <w:rFonts w:ascii="Palatino Linotype" w:hAnsi="Palatino Linotype"/>
        <w:sz w:val="16"/>
        <w:lang w:val="en-US"/>
      </w:rPr>
      <w:t xml:space="preserve">, </w:t>
    </w:r>
    <w:r w:rsidRPr="004C2008">
      <w:rPr>
        <w:rFonts w:ascii="Palatino Linotype" w:hAnsi="Palatino Linotype"/>
        <w:i/>
        <w:sz w:val="16"/>
        <w:lang w:val="en-US"/>
      </w:rPr>
      <w:t>9</w:t>
    </w:r>
    <w:r w:rsidRPr="004C2008">
      <w:rPr>
        <w:rFonts w:ascii="Palatino Linotype" w:hAnsi="Palatino Linotype"/>
        <w:sz w:val="16"/>
        <w:lang w:val="en-US"/>
      </w:rPr>
      <w:t xml:space="preserve">, x FOR PEER REVIEW </w:t>
    </w:r>
    <w:r>
      <w:rPr>
        <w:rFonts w:ascii="Palatino Linotype" w:hAnsi="Palatino Linotype"/>
        <w:sz w:val="16"/>
      </w:rPr>
      <w:ptab w:relativeTo="margin" w:alignment="right" w:leader="none"/>
    </w:r>
    <w:r w:rsidR="00FF17D2">
      <w:rPr>
        <w:rFonts w:ascii="Palatino Linotype" w:hAnsi="Palatino Linotype"/>
        <w:sz w:val="16"/>
      </w:rPr>
      <w:fldChar w:fldCharType="begin"/>
    </w:r>
    <w:r w:rsidRPr="004C2008">
      <w:rPr>
        <w:rFonts w:ascii="Palatino Linotype" w:hAnsi="Palatino Linotype"/>
        <w:sz w:val="16"/>
        <w:lang w:val="en-US"/>
      </w:rPr>
      <w:instrText xml:space="preserve"> PAGE  </w:instrText>
    </w:r>
    <w:r w:rsidR="00FF17D2">
      <w:rPr>
        <w:rFonts w:ascii="Palatino Linotype" w:hAnsi="Palatino Linotype"/>
        <w:sz w:val="16"/>
      </w:rPr>
      <w:fldChar w:fldCharType="separate"/>
    </w:r>
    <w:r w:rsidR="004E0E1A">
      <w:rPr>
        <w:rFonts w:ascii="Palatino Linotype" w:hAnsi="Palatino Linotype"/>
        <w:noProof/>
        <w:sz w:val="16"/>
        <w:lang w:val="en-US"/>
      </w:rPr>
      <w:t>2</w:t>
    </w:r>
    <w:r w:rsidR="00FF17D2">
      <w:rPr>
        <w:rFonts w:ascii="Palatino Linotype" w:hAnsi="Palatino Linotype"/>
        <w:sz w:val="16"/>
      </w:rPr>
      <w:fldChar w:fldCharType="end"/>
    </w:r>
    <w:r w:rsidRPr="004C2008">
      <w:rPr>
        <w:rFonts w:ascii="Palatino Linotype" w:hAnsi="Palatino Linotype"/>
        <w:sz w:val="16"/>
        <w:lang w:val="en-US"/>
      </w:rPr>
      <w:t xml:space="preserve"> of </w:t>
    </w:r>
    <w:r w:rsidR="00FF17D2">
      <w:rPr>
        <w:rFonts w:ascii="Palatino Linotype" w:hAnsi="Palatino Linotype"/>
        <w:sz w:val="16"/>
      </w:rPr>
      <w:fldChar w:fldCharType="begin"/>
    </w:r>
    <w:r w:rsidRPr="004C2008">
      <w:rPr>
        <w:rFonts w:ascii="Palatino Linotype" w:hAnsi="Palatino Linotype"/>
        <w:sz w:val="16"/>
        <w:lang w:val="en-US"/>
      </w:rPr>
      <w:instrText xml:space="preserve"> NUMPAGES  </w:instrText>
    </w:r>
    <w:r w:rsidR="00FF17D2">
      <w:rPr>
        <w:rFonts w:ascii="Palatino Linotype" w:hAnsi="Palatino Linotype"/>
        <w:sz w:val="16"/>
      </w:rPr>
      <w:fldChar w:fldCharType="separate"/>
    </w:r>
    <w:r w:rsidR="004E0E1A">
      <w:rPr>
        <w:rFonts w:ascii="Palatino Linotype" w:hAnsi="Palatino Linotype"/>
        <w:noProof/>
        <w:sz w:val="16"/>
        <w:lang w:val="en-US"/>
      </w:rPr>
      <w:t>20</w:t>
    </w:r>
    <w:r w:rsidR="00FF17D2">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6B" w:rsidRDefault="004E0E1A" w:rsidP="008810B3">
    <w:pPr>
      <w:pStyle w:val="MDPIheaderjournallogo"/>
    </w:pPr>
    <w:r>
      <w:rPr>
        <w:i w:val="0"/>
        <w:noProof/>
        <w:szCs w:val="16"/>
        <w:lang w:val="fr-FR" w:eastAsia="fr-FR"/>
      </w:rPr>
      <mc:AlternateContent>
        <mc:Choice Requires="wps">
          <w:drawing>
            <wp:anchor distT="45720" distB="45720" distL="114300" distR="114300" simplePos="0" relativeHeight="251657728" behindDoc="1" locked="0" layoutInCell="1" allowOverlap="1">
              <wp:simplePos x="0" y="0"/>
              <wp:positionH relativeFrom="rightMargin">
                <wp:posOffset>-557530</wp:posOffset>
              </wp:positionH>
              <wp:positionV relativeFrom="paragraph">
                <wp:posOffset>0</wp:posOffset>
              </wp:positionV>
              <wp:extent cx="553085" cy="70929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709295"/>
                      </a:xfrm>
                      <a:prstGeom prst="rect">
                        <a:avLst/>
                      </a:prstGeom>
                      <a:solidFill>
                        <a:srgbClr val="FFFFFF"/>
                      </a:solidFill>
                      <a:ln w="9525">
                        <a:noFill/>
                        <a:miter lim="800000"/>
                        <a:headEnd/>
                        <a:tailEnd/>
                      </a:ln>
                    </wps:spPr>
                    <wps:txbx>
                      <w:txbxContent>
                        <w:p w:rsidR="00B00E6B" w:rsidRDefault="00B00E6B" w:rsidP="004C06D2">
                          <w:pPr>
                            <w:pStyle w:val="MDPIheaderjournallogo"/>
                            <w:jc w:val="center"/>
                            <w:rPr>
                              <w:i w:val="0"/>
                              <w:szCs w:val="16"/>
                            </w:rPr>
                          </w:pPr>
                          <w:r w:rsidRPr="004C2008">
                            <w:rPr>
                              <w:i w:val="0"/>
                              <w:noProof/>
                              <w:szCs w:val="16"/>
                              <w:lang w:val="fr-FR" w:eastAsia="fr-FR"/>
                            </w:rPr>
                            <w:drawing>
                              <wp:inline distT="0" distB="0" distL="0" distR="0">
                                <wp:extent cx="546216" cy="360000"/>
                                <wp:effectExtent l="0" t="0" r="6350" b="2540"/>
                                <wp:docPr id="5"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9pt;margin-top:0;width:43.55pt;height:55.85pt;z-index:-25165875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" stroked="f">
              <v:textbox inset="0,0,0,0">
                <w:txbxContent>
                  <w:p w:rsidR="00B00E6B" w:rsidRDefault="00B00E6B" w:rsidP="004C06D2">
                    <w:pPr>
                      <w:pStyle w:val="MDPIheaderjournallogo"/>
                      <w:jc w:val="center"/>
                      <w:rPr>
                        <w:i w:val="0"/>
                        <w:szCs w:val="16"/>
                      </w:rPr>
                    </w:pPr>
                    <w:r w:rsidRPr="004C2008">
                      <w:rPr>
                        <w:i w:val="0"/>
                        <w:noProof/>
                        <w:szCs w:val="16"/>
                        <w:lang w:val="fr-FR" w:eastAsia="fr-FR"/>
                      </w:rPr>
                      <w:drawing>
                        <wp:inline distT="0" distB="0" distL="0" distR="0">
                          <wp:extent cx="546216" cy="360000"/>
                          <wp:effectExtent l="0" t="0" r="6350" b="2540"/>
                          <wp:docPr id="5"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sidR="00B00E6B">
      <w:rPr>
        <w:noProof/>
        <w:lang w:val="fr-FR" w:eastAsia="fr-FR"/>
      </w:rPr>
      <w:drawing>
        <wp:inline distT="0" distB="0" distL="0" distR="0">
          <wp:extent cx="1701800" cy="429260"/>
          <wp:effectExtent l="0" t="0" r="0" b="8890"/>
          <wp:docPr id="7" name="Picture 7"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Nutrient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C6208D7"/>
    <w:multiLevelType w:val="hybridMultilevel"/>
    <w:tmpl w:val="A38A8D3E"/>
    <w:lvl w:ilvl="0" w:tplc="56489D66">
      <w:start w:val="1"/>
      <w:numFmt w:val="bullet"/>
      <w:lvlText w:val="-"/>
      <w:lvlJc w:val="left"/>
      <w:pPr>
        <w:tabs>
          <w:tab w:val="num" w:pos="720"/>
        </w:tabs>
        <w:ind w:left="720" w:hanging="360"/>
      </w:pPr>
      <w:rPr>
        <w:rFonts w:ascii="Times New Roman" w:hAnsi="Times New Roman" w:hint="default"/>
      </w:rPr>
    </w:lvl>
    <w:lvl w:ilvl="1" w:tplc="C95A28F8" w:tentative="1">
      <w:start w:val="1"/>
      <w:numFmt w:val="bullet"/>
      <w:lvlText w:val="-"/>
      <w:lvlJc w:val="left"/>
      <w:pPr>
        <w:tabs>
          <w:tab w:val="num" w:pos="1440"/>
        </w:tabs>
        <w:ind w:left="1440" w:hanging="360"/>
      </w:pPr>
      <w:rPr>
        <w:rFonts w:ascii="Times New Roman" w:hAnsi="Times New Roman" w:hint="default"/>
      </w:rPr>
    </w:lvl>
    <w:lvl w:ilvl="2" w:tplc="2294F9CC" w:tentative="1">
      <w:start w:val="1"/>
      <w:numFmt w:val="bullet"/>
      <w:lvlText w:val="-"/>
      <w:lvlJc w:val="left"/>
      <w:pPr>
        <w:tabs>
          <w:tab w:val="num" w:pos="2160"/>
        </w:tabs>
        <w:ind w:left="2160" w:hanging="360"/>
      </w:pPr>
      <w:rPr>
        <w:rFonts w:ascii="Times New Roman" w:hAnsi="Times New Roman" w:hint="default"/>
      </w:rPr>
    </w:lvl>
    <w:lvl w:ilvl="3" w:tplc="C58063D4" w:tentative="1">
      <w:start w:val="1"/>
      <w:numFmt w:val="bullet"/>
      <w:lvlText w:val="-"/>
      <w:lvlJc w:val="left"/>
      <w:pPr>
        <w:tabs>
          <w:tab w:val="num" w:pos="2880"/>
        </w:tabs>
        <w:ind w:left="2880" w:hanging="360"/>
      </w:pPr>
      <w:rPr>
        <w:rFonts w:ascii="Times New Roman" w:hAnsi="Times New Roman" w:hint="default"/>
      </w:rPr>
    </w:lvl>
    <w:lvl w:ilvl="4" w:tplc="2D3A770A" w:tentative="1">
      <w:start w:val="1"/>
      <w:numFmt w:val="bullet"/>
      <w:lvlText w:val="-"/>
      <w:lvlJc w:val="left"/>
      <w:pPr>
        <w:tabs>
          <w:tab w:val="num" w:pos="3600"/>
        </w:tabs>
        <w:ind w:left="3600" w:hanging="360"/>
      </w:pPr>
      <w:rPr>
        <w:rFonts w:ascii="Times New Roman" w:hAnsi="Times New Roman" w:hint="default"/>
      </w:rPr>
    </w:lvl>
    <w:lvl w:ilvl="5" w:tplc="208640E8" w:tentative="1">
      <w:start w:val="1"/>
      <w:numFmt w:val="bullet"/>
      <w:lvlText w:val="-"/>
      <w:lvlJc w:val="left"/>
      <w:pPr>
        <w:tabs>
          <w:tab w:val="num" w:pos="4320"/>
        </w:tabs>
        <w:ind w:left="4320" w:hanging="360"/>
      </w:pPr>
      <w:rPr>
        <w:rFonts w:ascii="Times New Roman" w:hAnsi="Times New Roman" w:hint="default"/>
      </w:rPr>
    </w:lvl>
    <w:lvl w:ilvl="6" w:tplc="6B4003E6" w:tentative="1">
      <w:start w:val="1"/>
      <w:numFmt w:val="bullet"/>
      <w:lvlText w:val="-"/>
      <w:lvlJc w:val="left"/>
      <w:pPr>
        <w:tabs>
          <w:tab w:val="num" w:pos="5040"/>
        </w:tabs>
        <w:ind w:left="5040" w:hanging="360"/>
      </w:pPr>
      <w:rPr>
        <w:rFonts w:ascii="Times New Roman" w:hAnsi="Times New Roman" w:hint="default"/>
      </w:rPr>
    </w:lvl>
    <w:lvl w:ilvl="7" w:tplc="D184637E" w:tentative="1">
      <w:start w:val="1"/>
      <w:numFmt w:val="bullet"/>
      <w:lvlText w:val="-"/>
      <w:lvlJc w:val="left"/>
      <w:pPr>
        <w:tabs>
          <w:tab w:val="num" w:pos="5760"/>
        </w:tabs>
        <w:ind w:left="5760" w:hanging="360"/>
      </w:pPr>
      <w:rPr>
        <w:rFonts w:ascii="Times New Roman" w:hAnsi="Times New Roman" w:hint="default"/>
      </w:rPr>
    </w:lvl>
    <w:lvl w:ilvl="8" w:tplc="71DA3D7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7">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BDE1188"/>
    <w:multiLevelType w:val="hybridMultilevel"/>
    <w:tmpl w:val="F40E81FC"/>
    <w:lvl w:ilvl="0" w:tplc="C8E23624">
      <w:start w:val="1"/>
      <w:numFmt w:val="upperLetter"/>
      <w:lvlText w:val="%1."/>
      <w:lvlJc w:val="left"/>
      <w:pPr>
        <w:ind w:left="720" w:hanging="360"/>
      </w:pPr>
      <w:rPr>
        <w:rFonts w:hint="default"/>
      </w:rPr>
    </w:lvl>
    <w:lvl w:ilvl="1" w:tplc="570E057E" w:tentative="1">
      <w:start w:val="1"/>
      <w:numFmt w:val="lowerLetter"/>
      <w:lvlText w:val="%2."/>
      <w:lvlJc w:val="left"/>
      <w:pPr>
        <w:ind w:left="1440" w:hanging="360"/>
      </w:pPr>
    </w:lvl>
    <w:lvl w:ilvl="2" w:tplc="F5B83ABC" w:tentative="1">
      <w:start w:val="1"/>
      <w:numFmt w:val="lowerRoman"/>
      <w:lvlText w:val="%3."/>
      <w:lvlJc w:val="right"/>
      <w:pPr>
        <w:ind w:left="2160" w:hanging="180"/>
      </w:pPr>
    </w:lvl>
    <w:lvl w:ilvl="3" w:tplc="A75AD976" w:tentative="1">
      <w:start w:val="1"/>
      <w:numFmt w:val="decimal"/>
      <w:lvlText w:val="%4."/>
      <w:lvlJc w:val="left"/>
      <w:pPr>
        <w:ind w:left="2880" w:hanging="360"/>
      </w:pPr>
    </w:lvl>
    <w:lvl w:ilvl="4" w:tplc="24900962" w:tentative="1">
      <w:start w:val="1"/>
      <w:numFmt w:val="lowerLetter"/>
      <w:lvlText w:val="%5."/>
      <w:lvlJc w:val="left"/>
      <w:pPr>
        <w:ind w:left="3600" w:hanging="360"/>
      </w:pPr>
    </w:lvl>
    <w:lvl w:ilvl="5" w:tplc="4AA62BCE" w:tentative="1">
      <w:start w:val="1"/>
      <w:numFmt w:val="lowerRoman"/>
      <w:lvlText w:val="%6."/>
      <w:lvlJc w:val="right"/>
      <w:pPr>
        <w:ind w:left="4320" w:hanging="180"/>
      </w:pPr>
    </w:lvl>
    <w:lvl w:ilvl="6" w:tplc="C61826C6" w:tentative="1">
      <w:start w:val="1"/>
      <w:numFmt w:val="decimal"/>
      <w:lvlText w:val="%7."/>
      <w:lvlJc w:val="left"/>
      <w:pPr>
        <w:ind w:left="5040" w:hanging="360"/>
      </w:pPr>
    </w:lvl>
    <w:lvl w:ilvl="7" w:tplc="0794375C" w:tentative="1">
      <w:start w:val="1"/>
      <w:numFmt w:val="lowerLetter"/>
      <w:lvlText w:val="%8."/>
      <w:lvlJc w:val="left"/>
      <w:pPr>
        <w:ind w:left="5760" w:hanging="360"/>
      </w:pPr>
    </w:lvl>
    <w:lvl w:ilvl="8" w:tplc="15A6DD26" w:tentative="1">
      <w:start w:val="1"/>
      <w:numFmt w:val="lowerRoman"/>
      <w:lvlText w:val="%9."/>
      <w:lvlJc w:val="right"/>
      <w:pPr>
        <w:ind w:left="6480" w:hanging="180"/>
      </w:pPr>
    </w:lvl>
  </w:abstractNum>
  <w:abstractNum w:abstractNumId="12">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4">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6"/>
  </w:num>
  <w:num w:numId="2">
    <w:abstractNumId w:val="14"/>
  </w:num>
  <w:num w:numId="3">
    <w:abstractNumId w:val="9"/>
  </w:num>
  <w:num w:numId="4">
    <w:abstractNumId w:val="0"/>
  </w:num>
  <w:num w:numId="5">
    <w:abstractNumId w:val="8"/>
  </w:num>
  <w:num w:numId="6">
    <w:abstractNumId w:val="14"/>
  </w:num>
  <w:num w:numId="7">
    <w:abstractNumId w:val="6"/>
  </w:num>
  <w:num w:numId="8">
    <w:abstractNumId w:val="1"/>
  </w:num>
  <w:num w:numId="9">
    <w:abstractNumId w:val="2"/>
  </w:num>
  <w:num w:numId="10">
    <w:abstractNumId w:val="10"/>
  </w:num>
  <w:num w:numId="11">
    <w:abstractNumId w:val="12"/>
  </w:num>
  <w:num w:numId="12">
    <w:abstractNumId w:val="13"/>
  </w:num>
  <w:num w:numId="13">
    <w:abstractNumId w:val="5"/>
  </w:num>
  <w:num w:numId="14">
    <w:abstractNumId w:val="7"/>
  </w:num>
  <w:num w:numId="15">
    <w:abstractNumId w:val="4"/>
  </w:num>
  <w:num w:numId="16">
    <w:abstractNumId w:val="4"/>
  </w:num>
  <w:num w:numId="17">
    <w:abstractNumId w:val="9"/>
  </w:num>
  <w:num w:numId="18">
    <w:abstractNumId w:val="9"/>
  </w:num>
  <w:num w:numId="19">
    <w:abstractNumId w:val="13"/>
  </w:num>
  <w:num w:numId="20">
    <w:abstractNumId w:val="14"/>
  </w:num>
  <w:num w:numId="21">
    <w:abstractNumId w:val="5"/>
  </w:num>
  <w:num w:numId="22">
    <w:abstractNumId w:val="7"/>
  </w:num>
  <w:num w:numId="23">
    <w:abstractNumId w:val="4"/>
  </w:num>
  <w:num w:numId="24">
    <w:abstractNumId w:val="4"/>
  </w:num>
  <w:num w:numId="25">
    <w:abstractNumId w:val="5"/>
  </w:num>
  <w:num w:numId="26">
    <w:abstractNumId w:val="7"/>
  </w:num>
  <w:num w:numId="27">
    <w:abstractNumId w:val="4"/>
  </w:num>
  <w:num w:numId="28">
    <w:abstractNumId w:val="5"/>
  </w:num>
  <w:num w:numId="29">
    <w:abstractNumId w:val="7"/>
  </w:num>
  <w:num w:numId="30">
    <w:abstractNumId w:val="5"/>
  </w:num>
  <w:num w:numId="31">
    <w:abstractNumId w:val="7"/>
  </w:num>
  <w:num w:numId="32">
    <w:abstractNumId w:val="4"/>
  </w:num>
  <w:num w:numId="33">
    <w:abstractNumId w:val="4"/>
  </w:num>
  <w:num w:numId="34">
    <w:abstractNumId w:val="13"/>
  </w:num>
  <w:num w:numId="35">
    <w:abstractNumId w:val="14"/>
  </w:num>
  <w:num w:numId="36">
    <w:abstractNumId w:val="9"/>
  </w:num>
  <w:num w:numId="37">
    <w:abstractNumId w:val="13"/>
  </w:num>
  <w:num w:numId="38">
    <w:abstractNumId w:val="14"/>
  </w:num>
  <w:num w:numId="39">
    <w:abstractNumId w:val="9"/>
  </w:num>
  <w:num w:numId="40">
    <w:abstractNumId w:val="6"/>
  </w:num>
  <w:num w:numId="41">
    <w:abstractNumId w:val="14"/>
  </w:num>
  <w:num w:numId="42">
    <w:abstractNumId w:val="9"/>
  </w:num>
  <w:num w:numId="43">
    <w:abstractNumId w:val="13"/>
  </w:num>
  <w:num w:numId="44">
    <w:abstractNumId w:val="14"/>
  </w:num>
  <w:num w:numId="45">
    <w:abstractNumId w:val="9"/>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ent Vieux">
    <w15:presenceInfo w15:providerId="Windows Live" w15:userId="aa0db571b38c57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ttachedTemplate r:id="rId1"/>
  <w:trackRevisions/>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4099"/>
  </w:hdrShapeDefaults>
  <w:footnotePr>
    <w:footnote w:id="-1"/>
    <w:footnote w:id="0"/>
    <w:footnote w:id="1"/>
  </w:footnotePr>
  <w:endnotePr>
    <w:endnote w:id="-1"/>
    <w:endnote w:id="0"/>
    <w:endnote w:id="1"/>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C:\Users\Darmon\Documents\Biblio_Doc\RefMan\SauveRMStyles\Nutrients.os&lt;/StartingRefnum&gt;&lt;FontName&gt;Times New Roman&lt;/FontName&gt;&lt;FontSize&gt;12&lt;/FontSize&gt;&lt;ReflistTitle&g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13 oct 2012&lt;/item&gt;&lt;/Libraries&gt;&lt;/Databases&gt;"/>
  </w:docVars>
  <w:rsids>
    <w:rsidRoot w:val="004C06D2"/>
    <w:rsid w:val="00000637"/>
    <w:rsid w:val="000006F8"/>
    <w:rsid w:val="000046B6"/>
    <w:rsid w:val="00004BA7"/>
    <w:rsid w:val="00005FC2"/>
    <w:rsid w:val="00011BC3"/>
    <w:rsid w:val="0001283B"/>
    <w:rsid w:val="0002090C"/>
    <w:rsid w:val="00024621"/>
    <w:rsid w:val="0002467B"/>
    <w:rsid w:val="00025C56"/>
    <w:rsid w:val="000319B8"/>
    <w:rsid w:val="0003351A"/>
    <w:rsid w:val="00034840"/>
    <w:rsid w:val="00034AB4"/>
    <w:rsid w:val="00034BF8"/>
    <w:rsid w:val="000361F7"/>
    <w:rsid w:val="00037F00"/>
    <w:rsid w:val="00041A10"/>
    <w:rsid w:val="0004245C"/>
    <w:rsid w:val="00042C12"/>
    <w:rsid w:val="000439F3"/>
    <w:rsid w:val="00043F91"/>
    <w:rsid w:val="00044417"/>
    <w:rsid w:val="0004473F"/>
    <w:rsid w:val="00045898"/>
    <w:rsid w:val="00047692"/>
    <w:rsid w:val="00047787"/>
    <w:rsid w:val="00050716"/>
    <w:rsid w:val="00050C65"/>
    <w:rsid w:val="000520E3"/>
    <w:rsid w:val="000551E0"/>
    <w:rsid w:val="000562B9"/>
    <w:rsid w:val="00056DBB"/>
    <w:rsid w:val="000578BD"/>
    <w:rsid w:val="000602E4"/>
    <w:rsid w:val="000605CD"/>
    <w:rsid w:val="0006467F"/>
    <w:rsid w:val="00067E85"/>
    <w:rsid w:val="0007057B"/>
    <w:rsid w:val="00071D03"/>
    <w:rsid w:val="00073BD9"/>
    <w:rsid w:val="00073F07"/>
    <w:rsid w:val="00077A9D"/>
    <w:rsid w:val="00082D78"/>
    <w:rsid w:val="000833FA"/>
    <w:rsid w:val="000848F9"/>
    <w:rsid w:val="00094176"/>
    <w:rsid w:val="000A0E49"/>
    <w:rsid w:val="000A0F29"/>
    <w:rsid w:val="000A3155"/>
    <w:rsid w:val="000A411D"/>
    <w:rsid w:val="000A45A9"/>
    <w:rsid w:val="000A5FAE"/>
    <w:rsid w:val="000A6F0E"/>
    <w:rsid w:val="000A71B2"/>
    <w:rsid w:val="000B05D0"/>
    <w:rsid w:val="000B1C39"/>
    <w:rsid w:val="000B2128"/>
    <w:rsid w:val="000B38AC"/>
    <w:rsid w:val="000B4ED7"/>
    <w:rsid w:val="000B529D"/>
    <w:rsid w:val="000B5482"/>
    <w:rsid w:val="000B78B4"/>
    <w:rsid w:val="000B7EF6"/>
    <w:rsid w:val="000C299D"/>
    <w:rsid w:val="000C329F"/>
    <w:rsid w:val="000C4A82"/>
    <w:rsid w:val="000C4B5D"/>
    <w:rsid w:val="000C4FB6"/>
    <w:rsid w:val="000D0745"/>
    <w:rsid w:val="000D0874"/>
    <w:rsid w:val="000D093A"/>
    <w:rsid w:val="000D0B2F"/>
    <w:rsid w:val="000D166F"/>
    <w:rsid w:val="000D2842"/>
    <w:rsid w:val="000D2BB9"/>
    <w:rsid w:val="000D2F06"/>
    <w:rsid w:val="000D5554"/>
    <w:rsid w:val="000E01A6"/>
    <w:rsid w:val="000E08FD"/>
    <w:rsid w:val="000E35FE"/>
    <w:rsid w:val="000E37D1"/>
    <w:rsid w:val="000E3BDE"/>
    <w:rsid w:val="000E47C2"/>
    <w:rsid w:val="000E7A5D"/>
    <w:rsid w:val="000F0E85"/>
    <w:rsid w:val="000F0F9F"/>
    <w:rsid w:val="000F4E0E"/>
    <w:rsid w:val="000F5333"/>
    <w:rsid w:val="00100FE2"/>
    <w:rsid w:val="00102CBF"/>
    <w:rsid w:val="00103153"/>
    <w:rsid w:val="00103634"/>
    <w:rsid w:val="001170CF"/>
    <w:rsid w:val="0011779E"/>
    <w:rsid w:val="0012125D"/>
    <w:rsid w:val="00124285"/>
    <w:rsid w:val="0012462F"/>
    <w:rsid w:val="001268A0"/>
    <w:rsid w:val="00127B58"/>
    <w:rsid w:val="001301EC"/>
    <w:rsid w:val="00130F88"/>
    <w:rsid w:val="00131F3D"/>
    <w:rsid w:val="001352B6"/>
    <w:rsid w:val="00135C14"/>
    <w:rsid w:val="00140A39"/>
    <w:rsid w:val="001411AC"/>
    <w:rsid w:val="00141586"/>
    <w:rsid w:val="0014158B"/>
    <w:rsid w:val="00143181"/>
    <w:rsid w:val="00144660"/>
    <w:rsid w:val="00144DC5"/>
    <w:rsid w:val="00144E54"/>
    <w:rsid w:val="00145BFF"/>
    <w:rsid w:val="00145F5A"/>
    <w:rsid w:val="00150342"/>
    <w:rsid w:val="0015163A"/>
    <w:rsid w:val="00151E48"/>
    <w:rsid w:val="00152F85"/>
    <w:rsid w:val="001533A7"/>
    <w:rsid w:val="00154D2A"/>
    <w:rsid w:val="00155401"/>
    <w:rsid w:val="00156006"/>
    <w:rsid w:val="001603F6"/>
    <w:rsid w:val="00160C50"/>
    <w:rsid w:val="00160E57"/>
    <w:rsid w:val="0016263E"/>
    <w:rsid w:val="001632F9"/>
    <w:rsid w:val="00163372"/>
    <w:rsid w:val="00165A01"/>
    <w:rsid w:val="00165B98"/>
    <w:rsid w:val="001665A2"/>
    <w:rsid w:val="0016702F"/>
    <w:rsid w:val="00171C0F"/>
    <w:rsid w:val="00172EBE"/>
    <w:rsid w:val="001732EE"/>
    <w:rsid w:val="001739FB"/>
    <w:rsid w:val="00173FC0"/>
    <w:rsid w:val="001763AE"/>
    <w:rsid w:val="00176BBA"/>
    <w:rsid w:val="00176DC5"/>
    <w:rsid w:val="00176E73"/>
    <w:rsid w:val="0017709E"/>
    <w:rsid w:val="00177CC5"/>
    <w:rsid w:val="001812DE"/>
    <w:rsid w:val="00182861"/>
    <w:rsid w:val="00184B65"/>
    <w:rsid w:val="00184ECF"/>
    <w:rsid w:val="001854A7"/>
    <w:rsid w:val="001902DB"/>
    <w:rsid w:val="00191960"/>
    <w:rsid w:val="00192141"/>
    <w:rsid w:val="001929BE"/>
    <w:rsid w:val="00193EBD"/>
    <w:rsid w:val="00194DCB"/>
    <w:rsid w:val="001A09AF"/>
    <w:rsid w:val="001A0D5B"/>
    <w:rsid w:val="001A103B"/>
    <w:rsid w:val="001A1689"/>
    <w:rsid w:val="001A3926"/>
    <w:rsid w:val="001A4A0E"/>
    <w:rsid w:val="001A7D08"/>
    <w:rsid w:val="001B09F9"/>
    <w:rsid w:val="001B22D3"/>
    <w:rsid w:val="001B2E32"/>
    <w:rsid w:val="001B396D"/>
    <w:rsid w:val="001B3A0F"/>
    <w:rsid w:val="001B4254"/>
    <w:rsid w:val="001B446E"/>
    <w:rsid w:val="001C0089"/>
    <w:rsid w:val="001C0136"/>
    <w:rsid w:val="001C2A2E"/>
    <w:rsid w:val="001C3B86"/>
    <w:rsid w:val="001C6374"/>
    <w:rsid w:val="001C6867"/>
    <w:rsid w:val="001D0A2E"/>
    <w:rsid w:val="001D0BD8"/>
    <w:rsid w:val="001D294C"/>
    <w:rsid w:val="001D2AD2"/>
    <w:rsid w:val="001D4BF4"/>
    <w:rsid w:val="001D4C88"/>
    <w:rsid w:val="001D4CBF"/>
    <w:rsid w:val="001D5C83"/>
    <w:rsid w:val="001D5CB0"/>
    <w:rsid w:val="001D7118"/>
    <w:rsid w:val="001D7351"/>
    <w:rsid w:val="001E0BFA"/>
    <w:rsid w:val="001E25B9"/>
    <w:rsid w:val="001E26BA"/>
    <w:rsid w:val="001E3DBC"/>
    <w:rsid w:val="001F2913"/>
    <w:rsid w:val="001F45A9"/>
    <w:rsid w:val="001F55DC"/>
    <w:rsid w:val="001F5A4A"/>
    <w:rsid w:val="0020147D"/>
    <w:rsid w:val="002021CF"/>
    <w:rsid w:val="002026F5"/>
    <w:rsid w:val="00203B63"/>
    <w:rsid w:val="00206B4D"/>
    <w:rsid w:val="002070A4"/>
    <w:rsid w:val="0021202D"/>
    <w:rsid w:val="00213276"/>
    <w:rsid w:val="00214190"/>
    <w:rsid w:val="00216FA9"/>
    <w:rsid w:val="00220209"/>
    <w:rsid w:val="002220D5"/>
    <w:rsid w:val="00223A64"/>
    <w:rsid w:val="00225217"/>
    <w:rsid w:val="00225F3F"/>
    <w:rsid w:val="00226AB1"/>
    <w:rsid w:val="00232614"/>
    <w:rsid w:val="00233EC7"/>
    <w:rsid w:val="00234505"/>
    <w:rsid w:val="00235077"/>
    <w:rsid w:val="00235973"/>
    <w:rsid w:val="00236969"/>
    <w:rsid w:val="00236C0D"/>
    <w:rsid w:val="00236D35"/>
    <w:rsid w:val="00236F94"/>
    <w:rsid w:val="00237EDD"/>
    <w:rsid w:val="0024084D"/>
    <w:rsid w:val="00240C8C"/>
    <w:rsid w:val="00241C14"/>
    <w:rsid w:val="002434C9"/>
    <w:rsid w:val="00243EC4"/>
    <w:rsid w:val="002442D2"/>
    <w:rsid w:val="00246CE0"/>
    <w:rsid w:val="00250BB8"/>
    <w:rsid w:val="0025127B"/>
    <w:rsid w:val="002516DB"/>
    <w:rsid w:val="00251811"/>
    <w:rsid w:val="0025232D"/>
    <w:rsid w:val="00252515"/>
    <w:rsid w:val="0025259B"/>
    <w:rsid w:val="00252BD9"/>
    <w:rsid w:val="00253193"/>
    <w:rsid w:val="00253ED9"/>
    <w:rsid w:val="00255B5C"/>
    <w:rsid w:val="00257403"/>
    <w:rsid w:val="0025777F"/>
    <w:rsid w:val="00261B77"/>
    <w:rsid w:val="00263890"/>
    <w:rsid w:val="0026479E"/>
    <w:rsid w:val="00264D4F"/>
    <w:rsid w:val="002665A2"/>
    <w:rsid w:val="00271930"/>
    <w:rsid w:val="00271978"/>
    <w:rsid w:val="00272574"/>
    <w:rsid w:val="002731B9"/>
    <w:rsid w:val="00273440"/>
    <w:rsid w:val="0027513B"/>
    <w:rsid w:val="0027593D"/>
    <w:rsid w:val="00275F7E"/>
    <w:rsid w:val="00276B71"/>
    <w:rsid w:val="0027713B"/>
    <w:rsid w:val="002813F6"/>
    <w:rsid w:val="00285954"/>
    <w:rsid w:val="0028727D"/>
    <w:rsid w:val="002915B6"/>
    <w:rsid w:val="0029181E"/>
    <w:rsid w:val="0029287A"/>
    <w:rsid w:val="00294C2F"/>
    <w:rsid w:val="00295EE2"/>
    <w:rsid w:val="0029628E"/>
    <w:rsid w:val="00296EB7"/>
    <w:rsid w:val="002A31E4"/>
    <w:rsid w:val="002A66E9"/>
    <w:rsid w:val="002B0BCA"/>
    <w:rsid w:val="002B37F5"/>
    <w:rsid w:val="002B4981"/>
    <w:rsid w:val="002B75A2"/>
    <w:rsid w:val="002B7893"/>
    <w:rsid w:val="002C0E6A"/>
    <w:rsid w:val="002C28DD"/>
    <w:rsid w:val="002C300A"/>
    <w:rsid w:val="002C5045"/>
    <w:rsid w:val="002C5B09"/>
    <w:rsid w:val="002C6C5F"/>
    <w:rsid w:val="002C7423"/>
    <w:rsid w:val="002C7CEB"/>
    <w:rsid w:val="002D0834"/>
    <w:rsid w:val="002D2055"/>
    <w:rsid w:val="002D476D"/>
    <w:rsid w:val="002D4F9D"/>
    <w:rsid w:val="002D602B"/>
    <w:rsid w:val="002D7EB2"/>
    <w:rsid w:val="002E0B8D"/>
    <w:rsid w:val="002E11AF"/>
    <w:rsid w:val="002E1F9C"/>
    <w:rsid w:val="002E2696"/>
    <w:rsid w:val="002E45FF"/>
    <w:rsid w:val="002E4AE9"/>
    <w:rsid w:val="002E59FA"/>
    <w:rsid w:val="002E699F"/>
    <w:rsid w:val="002F0022"/>
    <w:rsid w:val="002F1F90"/>
    <w:rsid w:val="002F30E0"/>
    <w:rsid w:val="002F3A40"/>
    <w:rsid w:val="002F4333"/>
    <w:rsid w:val="002F490A"/>
    <w:rsid w:val="002F6006"/>
    <w:rsid w:val="002F667B"/>
    <w:rsid w:val="002F6728"/>
    <w:rsid w:val="002F6FC8"/>
    <w:rsid w:val="003000E6"/>
    <w:rsid w:val="00300F39"/>
    <w:rsid w:val="0030282D"/>
    <w:rsid w:val="0030286C"/>
    <w:rsid w:val="0030379B"/>
    <w:rsid w:val="003053D7"/>
    <w:rsid w:val="00305668"/>
    <w:rsid w:val="003066AC"/>
    <w:rsid w:val="00306771"/>
    <w:rsid w:val="0030792C"/>
    <w:rsid w:val="00307DAD"/>
    <w:rsid w:val="00310EBF"/>
    <w:rsid w:val="00312F5B"/>
    <w:rsid w:val="0031308C"/>
    <w:rsid w:val="0031392A"/>
    <w:rsid w:val="003148D1"/>
    <w:rsid w:val="003167AC"/>
    <w:rsid w:val="003171DA"/>
    <w:rsid w:val="0032250E"/>
    <w:rsid w:val="00322580"/>
    <w:rsid w:val="003229FD"/>
    <w:rsid w:val="003245BA"/>
    <w:rsid w:val="003246E2"/>
    <w:rsid w:val="00324E75"/>
    <w:rsid w:val="0032589B"/>
    <w:rsid w:val="003260DD"/>
    <w:rsid w:val="00330589"/>
    <w:rsid w:val="0033124F"/>
    <w:rsid w:val="0033164F"/>
    <w:rsid w:val="00333C2D"/>
    <w:rsid w:val="003352F1"/>
    <w:rsid w:val="00336080"/>
    <w:rsid w:val="00336189"/>
    <w:rsid w:val="00336BEA"/>
    <w:rsid w:val="003379F5"/>
    <w:rsid w:val="00340477"/>
    <w:rsid w:val="00341638"/>
    <w:rsid w:val="00341815"/>
    <w:rsid w:val="00342661"/>
    <w:rsid w:val="00344684"/>
    <w:rsid w:val="00344DFE"/>
    <w:rsid w:val="00346A68"/>
    <w:rsid w:val="00346B1B"/>
    <w:rsid w:val="00347596"/>
    <w:rsid w:val="00352669"/>
    <w:rsid w:val="00352D55"/>
    <w:rsid w:val="0035313A"/>
    <w:rsid w:val="0035340A"/>
    <w:rsid w:val="00353B41"/>
    <w:rsid w:val="0035469E"/>
    <w:rsid w:val="0035521D"/>
    <w:rsid w:val="00357207"/>
    <w:rsid w:val="00360BCE"/>
    <w:rsid w:val="003632CF"/>
    <w:rsid w:val="00363D81"/>
    <w:rsid w:val="00366428"/>
    <w:rsid w:val="00367166"/>
    <w:rsid w:val="00367343"/>
    <w:rsid w:val="003675B2"/>
    <w:rsid w:val="00367C05"/>
    <w:rsid w:val="00370039"/>
    <w:rsid w:val="00370569"/>
    <w:rsid w:val="003709EC"/>
    <w:rsid w:val="00373281"/>
    <w:rsid w:val="00373D16"/>
    <w:rsid w:val="00373F32"/>
    <w:rsid w:val="00374898"/>
    <w:rsid w:val="00376C3B"/>
    <w:rsid w:val="00376FA1"/>
    <w:rsid w:val="00381C2D"/>
    <w:rsid w:val="00381D89"/>
    <w:rsid w:val="00381FC4"/>
    <w:rsid w:val="003835CE"/>
    <w:rsid w:val="00383F5D"/>
    <w:rsid w:val="00384F4A"/>
    <w:rsid w:val="003855CF"/>
    <w:rsid w:val="0038614F"/>
    <w:rsid w:val="003902E6"/>
    <w:rsid w:val="00390B92"/>
    <w:rsid w:val="00390C6C"/>
    <w:rsid w:val="00391035"/>
    <w:rsid w:val="003911F6"/>
    <w:rsid w:val="00391F71"/>
    <w:rsid w:val="003938E0"/>
    <w:rsid w:val="00394742"/>
    <w:rsid w:val="003A0FDD"/>
    <w:rsid w:val="003A116E"/>
    <w:rsid w:val="003A1C66"/>
    <w:rsid w:val="003A1FCC"/>
    <w:rsid w:val="003A2168"/>
    <w:rsid w:val="003A3F7E"/>
    <w:rsid w:val="003A445F"/>
    <w:rsid w:val="003A4FD3"/>
    <w:rsid w:val="003A528E"/>
    <w:rsid w:val="003B2A22"/>
    <w:rsid w:val="003B3A7C"/>
    <w:rsid w:val="003B4E63"/>
    <w:rsid w:val="003B4E9A"/>
    <w:rsid w:val="003B53FD"/>
    <w:rsid w:val="003B559A"/>
    <w:rsid w:val="003B65E3"/>
    <w:rsid w:val="003C014C"/>
    <w:rsid w:val="003C245C"/>
    <w:rsid w:val="003C2C26"/>
    <w:rsid w:val="003C4A20"/>
    <w:rsid w:val="003C4AAF"/>
    <w:rsid w:val="003C57BF"/>
    <w:rsid w:val="003C7C01"/>
    <w:rsid w:val="003D1BCF"/>
    <w:rsid w:val="003D2888"/>
    <w:rsid w:val="003D2BC8"/>
    <w:rsid w:val="003D6836"/>
    <w:rsid w:val="003D6DF8"/>
    <w:rsid w:val="003D740F"/>
    <w:rsid w:val="003E08EB"/>
    <w:rsid w:val="003E0C56"/>
    <w:rsid w:val="003E14E1"/>
    <w:rsid w:val="003E2B81"/>
    <w:rsid w:val="003E3C49"/>
    <w:rsid w:val="003E52C8"/>
    <w:rsid w:val="003E5F91"/>
    <w:rsid w:val="003E675B"/>
    <w:rsid w:val="003E68A1"/>
    <w:rsid w:val="003F0471"/>
    <w:rsid w:val="003F21C8"/>
    <w:rsid w:val="003F2876"/>
    <w:rsid w:val="003F35A6"/>
    <w:rsid w:val="003F368E"/>
    <w:rsid w:val="003F4AE6"/>
    <w:rsid w:val="003F5595"/>
    <w:rsid w:val="003F6004"/>
    <w:rsid w:val="003F6831"/>
    <w:rsid w:val="003F693E"/>
    <w:rsid w:val="00401EA0"/>
    <w:rsid w:val="00403285"/>
    <w:rsid w:val="0040655F"/>
    <w:rsid w:val="00407752"/>
    <w:rsid w:val="00411667"/>
    <w:rsid w:val="004123C0"/>
    <w:rsid w:val="00412F36"/>
    <w:rsid w:val="00412FD3"/>
    <w:rsid w:val="004137AF"/>
    <w:rsid w:val="00414B86"/>
    <w:rsid w:val="004155FF"/>
    <w:rsid w:val="00415FB0"/>
    <w:rsid w:val="00416645"/>
    <w:rsid w:val="00416F39"/>
    <w:rsid w:val="00417A0D"/>
    <w:rsid w:val="00423429"/>
    <w:rsid w:val="00424882"/>
    <w:rsid w:val="00425AEA"/>
    <w:rsid w:val="0042627E"/>
    <w:rsid w:val="004262FE"/>
    <w:rsid w:val="00427902"/>
    <w:rsid w:val="00427E94"/>
    <w:rsid w:val="0043115A"/>
    <w:rsid w:val="004323F9"/>
    <w:rsid w:val="00432800"/>
    <w:rsid w:val="00433837"/>
    <w:rsid w:val="00434423"/>
    <w:rsid w:val="00435AD1"/>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5EA6"/>
    <w:rsid w:val="00456BA6"/>
    <w:rsid w:val="00461413"/>
    <w:rsid w:val="004614D9"/>
    <w:rsid w:val="00461DA2"/>
    <w:rsid w:val="00461F56"/>
    <w:rsid w:val="00462789"/>
    <w:rsid w:val="00462F89"/>
    <w:rsid w:val="00467F33"/>
    <w:rsid w:val="00471859"/>
    <w:rsid w:val="00475F95"/>
    <w:rsid w:val="00476172"/>
    <w:rsid w:val="00477487"/>
    <w:rsid w:val="004808A9"/>
    <w:rsid w:val="0048098C"/>
    <w:rsid w:val="00480BAE"/>
    <w:rsid w:val="00481ADA"/>
    <w:rsid w:val="00483436"/>
    <w:rsid w:val="00484615"/>
    <w:rsid w:val="004869B2"/>
    <w:rsid w:val="00486F32"/>
    <w:rsid w:val="00492418"/>
    <w:rsid w:val="00492DD6"/>
    <w:rsid w:val="004938FB"/>
    <w:rsid w:val="004971EB"/>
    <w:rsid w:val="004975CF"/>
    <w:rsid w:val="004A070F"/>
    <w:rsid w:val="004A0E92"/>
    <w:rsid w:val="004A1B4A"/>
    <w:rsid w:val="004A3D67"/>
    <w:rsid w:val="004A3EEB"/>
    <w:rsid w:val="004A44AE"/>
    <w:rsid w:val="004A485C"/>
    <w:rsid w:val="004A4BBA"/>
    <w:rsid w:val="004A50BD"/>
    <w:rsid w:val="004A6E3D"/>
    <w:rsid w:val="004A7C02"/>
    <w:rsid w:val="004A7D51"/>
    <w:rsid w:val="004B01BA"/>
    <w:rsid w:val="004B1516"/>
    <w:rsid w:val="004B6335"/>
    <w:rsid w:val="004B637A"/>
    <w:rsid w:val="004B664F"/>
    <w:rsid w:val="004C06D2"/>
    <w:rsid w:val="004C16C9"/>
    <w:rsid w:val="004C1961"/>
    <w:rsid w:val="004C1A82"/>
    <w:rsid w:val="004C1AB7"/>
    <w:rsid w:val="004C1B70"/>
    <w:rsid w:val="004C2008"/>
    <w:rsid w:val="004C3D4B"/>
    <w:rsid w:val="004C6746"/>
    <w:rsid w:val="004C6EE2"/>
    <w:rsid w:val="004C71C5"/>
    <w:rsid w:val="004D0408"/>
    <w:rsid w:val="004D0D2C"/>
    <w:rsid w:val="004D3D30"/>
    <w:rsid w:val="004D464D"/>
    <w:rsid w:val="004D47DA"/>
    <w:rsid w:val="004D50E0"/>
    <w:rsid w:val="004D6828"/>
    <w:rsid w:val="004E0E1A"/>
    <w:rsid w:val="004E16F5"/>
    <w:rsid w:val="004E4D07"/>
    <w:rsid w:val="004E70CE"/>
    <w:rsid w:val="004F1511"/>
    <w:rsid w:val="004F41A3"/>
    <w:rsid w:val="004F6F72"/>
    <w:rsid w:val="004F791A"/>
    <w:rsid w:val="004F7B5B"/>
    <w:rsid w:val="00502F00"/>
    <w:rsid w:val="00505235"/>
    <w:rsid w:val="005052F4"/>
    <w:rsid w:val="005055B1"/>
    <w:rsid w:val="0050609E"/>
    <w:rsid w:val="0050751A"/>
    <w:rsid w:val="005136A5"/>
    <w:rsid w:val="00514D19"/>
    <w:rsid w:val="00516FD5"/>
    <w:rsid w:val="005173DA"/>
    <w:rsid w:val="00520C33"/>
    <w:rsid w:val="00523C06"/>
    <w:rsid w:val="00525CC6"/>
    <w:rsid w:val="00526B60"/>
    <w:rsid w:val="00527BF5"/>
    <w:rsid w:val="00532B9C"/>
    <w:rsid w:val="005332DD"/>
    <w:rsid w:val="00533883"/>
    <w:rsid w:val="00534135"/>
    <w:rsid w:val="005355A8"/>
    <w:rsid w:val="005400CD"/>
    <w:rsid w:val="00541B06"/>
    <w:rsid w:val="00541DC6"/>
    <w:rsid w:val="00546465"/>
    <w:rsid w:val="00546A9B"/>
    <w:rsid w:val="005477D0"/>
    <w:rsid w:val="00547A73"/>
    <w:rsid w:val="005503D5"/>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72685"/>
    <w:rsid w:val="005757DC"/>
    <w:rsid w:val="00580739"/>
    <w:rsid w:val="00580D3B"/>
    <w:rsid w:val="00587918"/>
    <w:rsid w:val="005879FB"/>
    <w:rsid w:val="00590CE4"/>
    <w:rsid w:val="00591118"/>
    <w:rsid w:val="0059157D"/>
    <w:rsid w:val="00592174"/>
    <w:rsid w:val="005945E8"/>
    <w:rsid w:val="00594DA8"/>
    <w:rsid w:val="005967E7"/>
    <w:rsid w:val="0059706B"/>
    <w:rsid w:val="0059738E"/>
    <w:rsid w:val="005A1A79"/>
    <w:rsid w:val="005A42BD"/>
    <w:rsid w:val="005A6846"/>
    <w:rsid w:val="005A791C"/>
    <w:rsid w:val="005B16D7"/>
    <w:rsid w:val="005B2438"/>
    <w:rsid w:val="005B372B"/>
    <w:rsid w:val="005B4B13"/>
    <w:rsid w:val="005B5243"/>
    <w:rsid w:val="005B6231"/>
    <w:rsid w:val="005C001C"/>
    <w:rsid w:val="005C1C6F"/>
    <w:rsid w:val="005C2A6C"/>
    <w:rsid w:val="005C5730"/>
    <w:rsid w:val="005D10D8"/>
    <w:rsid w:val="005D196D"/>
    <w:rsid w:val="005D19D4"/>
    <w:rsid w:val="005D2650"/>
    <w:rsid w:val="005D35BB"/>
    <w:rsid w:val="005E1274"/>
    <w:rsid w:val="005E13E0"/>
    <w:rsid w:val="005E214A"/>
    <w:rsid w:val="005E36A0"/>
    <w:rsid w:val="005E4EC3"/>
    <w:rsid w:val="005E64B5"/>
    <w:rsid w:val="005E7457"/>
    <w:rsid w:val="005E74D7"/>
    <w:rsid w:val="005E790B"/>
    <w:rsid w:val="005F092A"/>
    <w:rsid w:val="005F1258"/>
    <w:rsid w:val="005F3117"/>
    <w:rsid w:val="005F36E7"/>
    <w:rsid w:val="005F69DB"/>
    <w:rsid w:val="006007E4"/>
    <w:rsid w:val="0060191C"/>
    <w:rsid w:val="00603D46"/>
    <w:rsid w:val="0060502A"/>
    <w:rsid w:val="006054D8"/>
    <w:rsid w:val="006059B4"/>
    <w:rsid w:val="0060772E"/>
    <w:rsid w:val="00607C65"/>
    <w:rsid w:val="00610143"/>
    <w:rsid w:val="006101B1"/>
    <w:rsid w:val="00610C2F"/>
    <w:rsid w:val="006118C4"/>
    <w:rsid w:val="00612526"/>
    <w:rsid w:val="00612E09"/>
    <w:rsid w:val="00612FD7"/>
    <w:rsid w:val="006148CA"/>
    <w:rsid w:val="00614AE8"/>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4A9A"/>
    <w:rsid w:val="006378A2"/>
    <w:rsid w:val="00637E6E"/>
    <w:rsid w:val="006402BD"/>
    <w:rsid w:val="006408F0"/>
    <w:rsid w:val="006410D6"/>
    <w:rsid w:val="006411A5"/>
    <w:rsid w:val="00641221"/>
    <w:rsid w:val="00641B12"/>
    <w:rsid w:val="00642B45"/>
    <w:rsid w:val="0064371D"/>
    <w:rsid w:val="00643B7B"/>
    <w:rsid w:val="00645862"/>
    <w:rsid w:val="006458D8"/>
    <w:rsid w:val="0065221D"/>
    <w:rsid w:val="00652887"/>
    <w:rsid w:val="00653B88"/>
    <w:rsid w:val="00654659"/>
    <w:rsid w:val="00655087"/>
    <w:rsid w:val="00655F4C"/>
    <w:rsid w:val="0065777B"/>
    <w:rsid w:val="00661780"/>
    <w:rsid w:val="006629FA"/>
    <w:rsid w:val="00663D7F"/>
    <w:rsid w:val="00663FED"/>
    <w:rsid w:val="0066704F"/>
    <w:rsid w:val="00667F99"/>
    <w:rsid w:val="00670D83"/>
    <w:rsid w:val="006719DE"/>
    <w:rsid w:val="00673C97"/>
    <w:rsid w:val="00674566"/>
    <w:rsid w:val="006746B1"/>
    <w:rsid w:val="006757CA"/>
    <w:rsid w:val="00677AAC"/>
    <w:rsid w:val="006808E8"/>
    <w:rsid w:val="00681D22"/>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4EBE"/>
    <w:rsid w:val="006B50AD"/>
    <w:rsid w:val="006B5189"/>
    <w:rsid w:val="006C09DE"/>
    <w:rsid w:val="006C1055"/>
    <w:rsid w:val="006C3E9D"/>
    <w:rsid w:val="006C44B9"/>
    <w:rsid w:val="006C4776"/>
    <w:rsid w:val="006C4FA4"/>
    <w:rsid w:val="006C5B2D"/>
    <w:rsid w:val="006C6552"/>
    <w:rsid w:val="006C67DC"/>
    <w:rsid w:val="006C7D91"/>
    <w:rsid w:val="006C7FED"/>
    <w:rsid w:val="006D0C85"/>
    <w:rsid w:val="006D2ED9"/>
    <w:rsid w:val="006D4052"/>
    <w:rsid w:val="006D425B"/>
    <w:rsid w:val="006D44B2"/>
    <w:rsid w:val="006D6F56"/>
    <w:rsid w:val="006D7D80"/>
    <w:rsid w:val="006E17AC"/>
    <w:rsid w:val="006E24BA"/>
    <w:rsid w:val="006E24C6"/>
    <w:rsid w:val="006E32F6"/>
    <w:rsid w:val="006E4CC0"/>
    <w:rsid w:val="006E60D8"/>
    <w:rsid w:val="006E60E5"/>
    <w:rsid w:val="006F02DE"/>
    <w:rsid w:val="006F0B83"/>
    <w:rsid w:val="006F7695"/>
    <w:rsid w:val="00701836"/>
    <w:rsid w:val="00701F70"/>
    <w:rsid w:val="00702650"/>
    <w:rsid w:val="007062E3"/>
    <w:rsid w:val="00706936"/>
    <w:rsid w:val="0070769C"/>
    <w:rsid w:val="00713620"/>
    <w:rsid w:val="00715914"/>
    <w:rsid w:val="00716837"/>
    <w:rsid w:val="00716CC2"/>
    <w:rsid w:val="0071759D"/>
    <w:rsid w:val="0072079B"/>
    <w:rsid w:val="00721ED3"/>
    <w:rsid w:val="00722184"/>
    <w:rsid w:val="007229D7"/>
    <w:rsid w:val="0072401B"/>
    <w:rsid w:val="00724474"/>
    <w:rsid w:val="00726238"/>
    <w:rsid w:val="00726473"/>
    <w:rsid w:val="007269A0"/>
    <w:rsid w:val="00730EDD"/>
    <w:rsid w:val="00732DD0"/>
    <w:rsid w:val="0073418E"/>
    <w:rsid w:val="00734C7C"/>
    <w:rsid w:val="00736FD6"/>
    <w:rsid w:val="0073714D"/>
    <w:rsid w:val="00737F17"/>
    <w:rsid w:val="00740549"/>
    <w:rsid w:val="00741C63"/>
    <w:rsid w:val="0074264B"/>
    <w:rsid w:val="0074415C"/>
    <w:rsid w:val="00746790"/>
    <w:rsid w:val="0074696F"/>
    <w:rsid w:val="00746DFC"/>
    <w:rsid w:val="00747BD5"/>
    <w:rsid w:val="007512D0"/>
    <w:rsid w:val="0075223F"/>
    <w:rsid w:val="00752DCE"/>
    <w:rsid w:val="00753727"/>
    <w:rsid w:val="00754E78"/>
    <w:rsid w:val="00755404"/>
    <w:rsid w:val="00755485"/>
    <w:rsid w:val="00755676"/>
    <w:rsid w:val="0075718C"/>
    <w:rsid w:val="00760E65"/>
    <w:rsid w:val="00763B07"/>
    <w:rsid w:val="00763D41"/>
    <w:rsid w:val="00766CD4"/>
    <w:rsid w:val="00767BEB"/>
    <w:rsid w:val="00770658"/>
    <w:rsid w:val="0077147D"/>
    <w:rsid w:val="00773BC1"/>
    <w:rsid w:val="007814A1"/>
    <w:rsid w:val="007824B6"/>
    <w:rsid w:val="007826EB"/>
    <w:rsid w:val="00786C6C"/>
    <w:rsid w:val="00790072"/>
    <w:rsid w:val="00792569"/>
    <w:rsid w:val="007936E5"/>
    <w:rsid w:val="00793A96"/>
    <w:rsid w:val="00797151"/>
    <w:rsid w:val="007A29C5"/>
    <w:rsid w:val="007B0185"/>
    <w:rsid w:val="007B0A56"/>
    <w:rsid w:val="007B4B9B"/>
    <w:rsid w:val="007B7493"/>
    <w:rsid w:val="007B7E96"/>
    <w:rsid w:val="007C0384"/>
    <w:rsid w:val="007C425D"/>
    <w:rsid w:val="007C431E"/>
    <w:rsid w:val="007C7E77"/>
    <w:rsid w:val="007D096B"/>
    <w:rsid w:val="007D40E6"/>
    <w:rsid w:val="007D4FC4"/>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075ED"/>
    <w:rsid w:val="00810A9A"/>
    <w:rsid w:val="00810EC2"/>
    <w:rsid w:val="008111C0"/>
    <w:rsid w:val="00811217"/>
    <w:rsid w:val="00814E34"/>
    <w:rsid w:val="008156EB"/>
    <w:rsid w:val="008158EE"/>
    <w:rsid w:val="0081603E"/>
    <w:rsid w:val="00816EB3"/>
    <w:rsid w:val="00821854"/>
    <w:rsid w:val="0082208E"/>
    <w:rsid w:val="008225F5"/>
    <w:rsid w:val="008252B3"/>
    <w:rsid w:val="00826339"/>
    <w:rsid w:val="00826661"/>
    <w:rsid w:val="008277BB"/>
    <w:rsid w:val="0083073D"/>
    <w:rsid w:val="00831D40"/>
    <w:rsid w:val="00832530"/>
    <w:rsid w:val="0083491C"/>
    <w:rsid w:val="00834DFD"/>
    <w:rsid w:val="00837B94"/>
    <w:rsid w:val="00837BC3"/>
    <w:rsid w:val="00840C66"/>
    <w:rsid w:val="008417F4"/>
    <w:rsid w:val="008418F1"/>
    <w:rsid w:val="008434A1"/>
    <w:rsid w:val="00843590"/>
    <w:rsid w:val="00844A58"/>
    <w:rsid w:val="008471DD"/>
    <w:rsid w:val="0084766E"/>
    <w:rsid w:val="00851EA5"/>
    <w:rsid w:val="00852591"/>
    <w:rsid w:val="00854221"/>
    <w:rsid w:val="00856761"/>
    <w:rsid w:val="00857347"/>
    <w:rsid w:val="008573D5"/>
    <w:rsid w:val="008625BD"/>
    <w:rsid w:val="008640E5"/>
    <w:rsid w:val="00865499"/>
    <w:rsid w:val="008670AA"/>
    <w:rsid w:val="0086721C"/>
    <w:rsid w:val="00870E00"/>
    <w:rsid w:val="00871BBD"/>
    <w:rsid w:val="008777D3"/>
    <w:rsid w:val="008810B3"/>
    <w:rsid w:val="00883B03"/>
    <w:rsid w:val="0088505F"/>
    <w:rsid w:val="0088519A"/>
    <w:rsid w:val="00885BB0"/>
    <w:rsid w:val="00890C8F"/>
    <w:rsid w:val="00891F22"/>
    <w:rsid w:val="00894D12"/>
    <w:rsid w:val="00894E26"/>
    <w:rsid w:val="00895C4D"/>
    <w:rsid w:val="00895D2A"/>
    <w:rsid w:val="00896C4C"/>
    <w:rsid w:val="008A1923"/>
    <w:rsid w:val="008A20CD"/>
    <w:rsid w:val="008A26D8"/>
    <w:rsid w:val="008A37CD"/>
    <w:rsid w:val="008A5B8F"/>
    <w:rsid w:val="008A5EC4"/>
    <w:rsid w:val="008A635B"/>
    <w:rsid w:val="008A6BDF"/>
    <w:rsid w:val="008A716B"/>
    <w:rsid w:val="008B4DEF"/>
    <w:rsid w:val="008B5B4F"/>
    <w:rsid w:val="008B5F78"/>
    <w:rsid w:val="008C018C"/>
    <w:rsid w:val="008C075E"/>
    <w:rsid w:val="008C0E13"/>
    <w:rsid w:val="008C2CAB"/>
    <w:rsid w:val="008C3CC7"/>
    <w:rsid w:val="008C4D63"/>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8F7B16"/>
    <w:rsid w:val="00900F5C"/>
    <w:rsid w:val="0090278A"/>
    <w:rsid w:val="009029A5"/>
    <w:rsid w:val="00910A12"/>
    <w:rsid w:val="009136F9"/>
    <w:rsid w:val="009159BD"/>
    <w:rsid w:val="00916274"/>
    <w:rsid w:val="00917AB1"/>
    <w:rsid w:val="0092016B"/>
    <w:rsid w:val="0092078E"/>
    <w:rsid w:val="00921161"/>
    <w:rsid w:val="009219A9"/>
    <w:rsid w:val="00922390"/>
    <w:rsid w:val="00922F79"/>
    <w:rsid w:val="00923D04"/>
    <w:rsid w:val="00924154"/>
    <w:rsid w:val="00924749"/>
    <w:rsid w:val="00924B33"/>
    <w:rsid w:val="0092599A"/>
    <w:rsid w:val="00926435"/>
    <w:rsid w:val="00930D40"/>
    <w:rsid w:val="009320BE"/>
    <w:rsid w:val="0093245D"/>
    <w:rsid w:val="00932DF7"/>
    <w:rsid w:val="00935FFF"/>
    <w:rsid w:val="00936873"/>
    <w:rsid w:val="00936D4F"/>
    <w:rsid w:val="00937630"/>
    <w:rsid w:val="00937866"/>
    <w:rsid w:val="00937DEA"/>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1E75"/>
    <w:rsid w:val="0097717F"/>
    <w:rsid w:val="009801B6"/>
    <w:rsid w:val="0098104E"/>
    <w:rsid w:val="0098119E"/>
    <w:rsid w:val="00986BB9"/>
    <w:rsid w:val="0098796E"/>
    <w:rsid w:val="0099115A"/>
    <w:rsid w:val="00992FA0"/>
    <w:rsid w:val="00993327"/>
    <w:rsid w:val="009940D2"/>
    <w:rsid w:val="0099449B"/>
    <w:rsid w:val="009947DB"/>
    <w:rsid w:val="00994E48"/>
    <w:rsid w:val="0099601C"/>
    <w:rsid w:val="00997702"/>
    <w:rsid w:val="009A21C5"/>
    <w:rsid w:val="009A2D1C"/>
    <w:rsid w:val="009A428D"/>
    <w:rsid w:val="009A453D"/>
    <w:rsid w:val="009A4C3C"/>
    <w:rsid w:val="009A62BB"/>
    <w:rsid w:val="009A656B"/>
    <w:rsid w:val="009A73A9"/>
    <w:rsid w:val="009A7DE1"/>
    <w:rsid w:val="009B1383"/>
    <w:rsid w:val="009B402F"/>
    <w:rsid w:val="009B75D1"/>
    <w:rsid w:val="009B796F"/>
    <w:rsid w:val="009C1EA0"/>
    <w:rsid w:val="009C3A17"/>
    <w:rsid w:val="009C47DE"/>
    <w:rsid w:val="009C4D38"/>
    <w:rsid w:val="009C501E"/>
    <w:rsid w:val="009C50FC"/>
    <w:rsid w:val="009D0479"/>
    <w:rsid w:val="009D0924"/>
    <w:rsid w:val="009D34D2"/>
    <w:rsid w:val="009D55DE"/>
    <w:rsid w:val="009D56B4"/>
    <w:rsid w:val="009E2755"/>
    <w:rsid w:val="009E43C3"/>
    <w:rsid w:val="009E4E25"/>
    <w:rsid w:val="009E50FD"/>
    <w:rsid w:val="009E5D13"/>
    <w:rsid w:val="009E5F2F"/>
    <w:rsid w:val="009E5FB2"/>
    <w:rsid w:val="009E61C0"/>
    <w:rsid w:val="009E7648"/>
    <w:rsid w:val="009F017C"/>
    <w:rsid w:val="009F0217"/>
    <w:rsid w:val="009F1081"/>
    <w:rsid w:val="009F245B"/>
    <w:rsid w:val="009F289B"/>
    <w:rsid w:val="009F3C1B"/>
    <w:rsid w:val="009F3C30"/>
    <w:rsid w:val="009F6F14"/>
    <w:rsid w:val="009F70DB"/>
    <w:rsid w:val="00A00529"/>
    <w:rsid w:val="00A01504"/>
    <w:rsid w:val="00A01773"/>
    <w:rsid w:val="00A03D2E"/>
    <w:rsid w:val="00A06112"/>
    <w:rsid w:val="00A06558"/>
    <w:rsid w:val="00A06614"/>
    <w:rsid w:val="00A0689F"/>
    <w:rsid w:val="00A077D6"/>
    <w:rsid w:val="00A10B4B"/>
    <w:rsid w:val="00A12039"/>
    <w:rsid w:val="00A12CF5"/>
    <w:rsid w:val="00A14C60"/>
    <w:rsid w:val="00A15B50"/>
    <w:rsid w:val="00A16B99"/>
    <w:rsid w:val="00A202CE"/>
    <w:rsid w:val="00A228B3"/>
    <w:rsid w:val="00A2661C"/>
    <w:rsid w:val="00A267B6"/>
    <w:rsid w:val="00A26A51"/>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298C"/>
    <w:rsid w:val="00A67762"/>
    <w:rsid w:val="00A70616"/>
    <w:rsid w:val="00A7295D"/>
    <w:rsid w:val="00A73337"/>
    <w:rsid w:val="00A753C9"/>
    <w:rsid w:val="00A82ADF"/>
    <w:rsid w:val="00A84532"/>
    <w:rsid w:val="00A84F67"/>
    <w:rsid w:val="00A8544C"/>
    <w:rsid w:val="00A8598D"/>
    <w:rsid w:val="00A861F6"/>
    <w:rsid w:val="00A8772A"/>
    <w:rsid w:val="00A902DE"/>
    <w:rsid w:val="00A9156B"/>
    <w:rsid w:val="00A91FB2"/>
    <w:rsid w:val="00A9521A"/>
    <w:rsid w:val="00A95E52"/>
    <w:rsid w:val="00A96386"/>
    <w:rsid w:val="00A96AAA"/>
    <w:rsid w:val="00A96DC0"/>
    <w:rsid w:val="00AA4CDC"/>
    <w:rsid w:val="00AA534C"/>
    <w:rsid w:val="00AA6D33"/>
    <w:rsid w:val="00AA6D42"/>
    <w:rsid w:val="00AA7401"/>
    <w:rsid w:val="00AA7D47"/>
    <w:rsid w:val="00AB118B"/>
    <w:rsid w:val="00AB2C87"/>
    <w:rsid w:val="00AB3B2F"/>
    <w:rsid w:val="00AB4374"/>
    <w:rsid w:val="00AB7823"/>
    <w:rsid w:val="00AC0F37"/>
    <w:rsid w:val="00AC1CB6"/>
    <w:rsid w:val="00AC2B31"/>
    <w:rsid w:val="00AC2E74"/>
    <w:rsid w:val="00AC37B2"/>
    <w:rsid w:val="00AD1980"/>
    <w:rsid w:val="00AD323F"/>
    <w:rsid w:val="00AD414A"/>
    <w:rsid w:val="00AD419B"/>
    <w:rsid w:val="00AD452E"/>
    <w:rsid w:val="00AD595E"/>
    <w:rsid w:val="00AD5DDA"/>
    <w:rsid w:val="00AD65C6"/>
    <w:rsid w:val="00AE0201"/>
    <w:rsid w:val="00AE1FC9"/>
    <w:rsid w:val="00AE26B0"/>
    <w:rsid w:val="00AE481D"/>
    <w:rsid w:val="00AE50D9"/>
    <w:rsid w:val="00AE50E3"/>
    <w:rsid w:val="00AE737B"/>
    <w:rsid w:val="00AF3647"/>
    <w:rsid w:val="00AF4666"/>
    <w:rsid w:val="00AF69A6"/>
    <w:rsid w:val="00AF6B00"/>
    <w:rsid w:val="00AF6BFE"/>
    <w:rsid w:val="00AF6F96"/>
    <w:rsid w:val="00AF75FB"/>
    <w:rsid w:val="00AF7D31"/>
    <w:rsid w:val="00B00435"/>
    <w:rsid w:val="00B00829"/>
    <w:rsid w:val="00B00E6B"/>
    <w:rsid w:val="00B02E5B"/>
    <w:rsid w:val="00B03ABF"/>
    <w:rsid w:val="00B062AD"/>
    <w:rsid w:val="00B06C8B"/>
    <w:rsid w:val="00B075B0"/>
    <w:rsid w:val="00B110B4"/>
    <w:rsid w:val="00B12C02"/>
    <w:rsid w:val="00B13618"/>
    <w:rsid w:val="00B17108"/>
    <w:rsid w:val="00B2055D"/>
    <w:rsid w:val="00B21A85"/>
    <w:rsid w:val="00B21C2D"/>
    <w:rsid w:val="00B220B8"/>
    <w:rsid w:val="00B225D6"/>
    <w:rsid w:val="00B23DA4"/>
    <w:rsid w:val="00B243FE"/>
    <w:rsid w:val="00B24904"/>
    <w:rsid w:val="00B24CBA"/>
    <w:rsid w:val="00B2666F"/>
    <w:rsid w:val="00B26F93"/>
    <w:rsid w:val="00B27BFC"/>
    <w:rsid w:val="00B30187"/>
    <w:rsid w:val="00B306A5"/>
    <w:rsid w:val="00B3096E"/>
    <w:rsid w:val="00B3205D"/>
    <w:rsid w:val="00B32A73"/>
    <w:rsid w:val="00B3611A"/>
    <w:rsid w:val="00B36FA1"/>
    <w:rsid w:val="00B37511"/>
    <w:rsid w:val="00B41E94"/>
    <w:rsid w:val="00B42F8E"/>
    <w:rsid w:val="00B451AE"/>
    <w:rsid w:val="00B4769A"/>
    <w:rsid w:val="00B52973"/>
    <w:rsid w:val="00B529BB"/>
    <w:rsid w:val="00B52EB1"/>
    <w:rsid w:val="00B5455D"/>
    <w:rsid w:val="00B55E1F"/>
    <w:rsid w:val="00B56B51"/>
    <w:rsid w:val="00B6121E"/>
    <w:rsid w:val="00B61A5C"/>
    <w:rsid w:val="00B62864"/>
    <w:rsid w:val="00B62B2E"/>
    <w:rsid w:val="00B637D3"/>
    <w:rsid w:val="00B64456"/>
    <w:rsid w:val="00B65A10"/>
    <w:rsid w:val="00B66F4D"/>
    <w:rsid w:val="00B67E90"/>
    <w:rsid w:val="00B7129F"/>
    <w:rsid w:val="00B74786"/>
    <w:rsid w:val="00B757FD"/>
    <w:rsid w:val="00B770CF"/>
    <w:rsid w:val="00B80F65"/>
    <w:rsid w:val="00B82878"/>
    <w:rsid w:val="00B832AE"/>
    <w:rsid w:val="00B83B50"/>
    <w:rsid w:val="00B83DFA"/>
    <w:rsid w:val="00B843D9"/>
    <w:rsid w:val="00B85C83"/>
    <w:rsid w:val="00B8797E"/>
    <w:rsid w:val="00B90965"/>
    <w:rsid w:val="00B92E82"/>
    <w:rsid w:val="00B93F30"/>
    <w:rsid w:val="00B93F8F"/>
    <w:rsid w:val="00B94B25"/>
    <w:rsid w:val="00B958A6"/>
    <w:rsid w:val="00B96FBF"/>
    <w:rsid w:val="00B97415"/>
    <w:rsid w:val="00BA0483"/>
    <w:rsid w:val="00BA1537"/>
    <w:rsid w:val="00BA2636"/>
    <w:rsid w:val="00BA2AFE"/>
    <w:rsid w:val="00BA5D00"/>
    <w:rsid w:val="00BA6755"/>
    <w:rsid w:val="00BA7B10"/>
    <w:rsid w:val="00BB0195"/>
    <w:rsid w:val="00BB1FC5"/>
    <w:rsid w:val="00BB349D"/>
    <w:rsid w:val="00BB473E"/>
    <w:rsid w:val="00BB5110"/>
    <w:rsid w:val="00BB514E"/>
    <w:rsid w:val="00BB6168"/>
    <w:rsid w:val="00BC0793"/>
    <w:rsid w:val="00BC092A"/>
    <w:rsid w:val="00BC2E11"/>
    <w:rsid w:val="00BC33F8"/>
    <w:rsid w:val="00BC4AB3"/>
    <w:rsid w:val="00BC61FC"/>
    <w:rsid w:val="00BC6F9E"/>
    <w:rsid w:val="00BC7950"/>
    <w:rsid w:val="00BD2A86"/>
    <w:rsid w:val="00BD30B2"/>
    <w:rsid w:val="00BD32C3"/>
    <w:rsid w:val="00BD3F58"/>
    <w:rsid w:val="00BD583E"/>
    <w:rsid w:val="00BE0ADB"/>
    <w:rsid w:val="00BE0EB9"/>
    <w:rsid w:val="00BE10C7"/>
    <w:rsid w:val="00BE18EC"/>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1E31"/>
    <w:rsid w:val="00C221B1"/>
    <w:rsid w:val="00C232C0"/>
    <w:rsid w:val="00C236E0"/>
    <w:rsid w:val="00C23CA1"/>
    <w:rsid w:val="00C23F3D"/>
    <w:rsid w:val="00C258E4"/>
    <w:rsid w:val="00C25FEE"/>
    <w:rsid w:val="00C31793"/>
    <w:rsid w:val="00C32AC9"/>
    <w:rsid w:val="00C337F0"/>
    <w:rsid w:val="00C373FE"/>
    <w:rsid w:val="00C42080"/>
    <w:rsid w:val="00C431EE"/>
    <w:rsid w:val="00C45730"/>
    <w:rsid w:val="00C45A45"/>
    <w:rsid w:val="00C47CCD"/>
    <w:rsid w:val="00C50174"/>
    <w:rsid w:val="00C504B1"/>
    <w:rsid w:val="00C5213B"/>
    <w:rsid w:val="00C52AF1"/>
    <w:rsid w:val="00C53638"/>
    <w:rsid w:val="00C541C4"/>
    <w:rsid w:val="00C54255"/>
    <w:rsid w:val="00C55BA4"/>
    <w:rsid w:val="00C57E9A"/>
    <w:rsid w:val="00C62E0E"/>
    <w:rsid w:val="00C64ACC"/>
    <w:rsid w:val="00C6573A"/>
    <w:rsid w:val="00C66CC4"/>
    <w:rsid w:val="00C7091C"/>
    <w:rsid w:val="00C70D7F"/>
    <w:rsid w:val="00C70EBE"/>
    <w:rsid w:val="00C715CB"/>
    <w:rsid w:val="00C7209A"/>
    <w:rsid w:val="00C721BC"/>
    <w:rsid w:val="00C769A3"/>
    <w:rsid w:val="00C77BDE"/>
    <w:rsid w:val="00C77C78"/>
    <w:rsid w:val="00C804DA"/>
    <w:rsid w:val="00C80FCB"/>
    <w:rsid w:val="00C814C8"/>
    <w:rsid w:val="00C819D0"/>
    <w:rsid w:val="00C819FE"/>
    <w:rsid w:val="00C81B6C"/>
    <w:rsid w:val="00C8206B"/>
    <w:rsid w:val="00C83E36"/>
    <w:rsid w:val="00C86511"/>
    <w:rsid w:val="00C873F1"/>
    <w:rsid w:val="00C874D2"/>
    <w:rsid w:val="00C90767"/>
    <w:rsid w:val="00C9168E"/>
    <w:rsid w:val="00C937F4"/>
    <w:rsid w:val="00C93855"/>
    <w:rsid w:val="00C941CD"/>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62CE"/>
    <w:rsid w:val="00CC7174"/>
    <w:rsid w:val="00CC7B2B"/>
    <w:rsid w:val="00CD024A"/>
    <w:rsid w:val="00CD0F34"/>
    <w:rsid w:val="00CD145E"/>
    <w:rsid w:val="00CD2D10"/>
    <w:rsid w:val="00CD43A6"/>
    <w:rsid w:val="00CD4785"/>
    <w:rsid w:val="00CD52BE"/>
    <w:rsid w:val="00CE091A"/>
    <w:rsid w:val="00CE0E7A"/>
    <w:rsid w:val="00CE10A1"/>
    <w:rsid w:val="00CE19F7"/>
    <w:rsid w:val="00CE1AE4"/>
    <w:rsid w:val="00CE2A1C"/>
    <w:rsid w:val="00CE4940"/>
    <w:rsid w:val="00CF0058"/>
    <w:rsid w:val="00CF01EB"/>
    <w:rsid w:val="00CF0C81"/>
    <w:rsid w:val="00CF1A7E"/>
    <w:rsid w:val="00CF1BC0"/>
    <w:rsid w:val="00CF28B7"/>
    <w:rsid w:val="00CF39CC"/>
    <w:rsid w:val="00CF3B0F"/>
    <w:rsid w:val="00CF422F"/>
    <w:rsid w:val="00CF5340"/>
    <w:rsid w:val="00CF64E5"/>
    <w:rsid w:val="00CF7633"/>
    <w:rsid w:val="00CF7FB7"/>
    <w:rsid w:val="00D02E83"/>
    <w:rsid w:val="00D03C40"/>
    <w:rsid w:val="00D055F1"/>
    <w:rsid w:val="00D05EBE"/>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994"/>
    <w:rsid w:val="00D32ECC"/>
    <w:rsid w:val="00D3309D"/>
    <w:rsid w:val="00D4012B"/>
    <w:rsid w:val="00D4065E"/>
    <w:rsid w:val="00D427F0"/>
    <w:rsid w:val="00D43C23"/>
    <w:rsid w:val="00D43FA0"/>
    <w:rsid w:val="00D44BF5"/>
    <w:rsid w:val="00D4756A"/>
    <w:rsid w:val="00D525A8"/>
    <w:rsid w:val="00D52ACF"/>
    <w:rsid w:val="00D53787"/>
    <w:rsid w:val="00D539AF"/>
    <w:rsid w:val="00D5468C"/>
    <w:rsid w:val="00D558C8"/>
    <w:rsid w:val="00D56657"/>
    <w:rsid w:val="00D56DA9"/>
    <w:rsid w:val="00D57280"/>
    <w:rsid w:val="00D624EC"/>
    <w:rsid w:val="00D625D4"/>
    <w:rsid w:val="00D64261"/>
    <w:rsid w:val="00D6520A"/>
    <w:rsid w:val="00D66692"/>
    <w:rsid w:val="00D66C6A"/>
    <w:rsid w:val="00D70AE3"/>
    <w:rsid w:val="00D713E4"/>
    <w:rsid w:val="00D73B65"/>
    <w:rsid w:val="00D73B8E"/>
    <w:rsid w:val="00D73D41"/>
    <w:rsid w:val="00D751EB"/>
    <w:rsid w:val="00D75A89"/>
    <w:rsid w:val="00D77608"/>
    <w:rsid w:val="00D778AD"/>
    <w:rsid w:val="00D807CB"/>
    <w:rsid w:val="00D81AB5"/>
    <w:rsid w:val="00D82A79"/>
    <w:rsid w:val="00D836A2"/>
    <w:rsid w:val="00D83AF6"/>
    <w:rsid w:val="00D84033"/>
    <w:rsid w:val="00D8426C"/>
    <w:rsid w:val="00D856BE"/>
    <w:rsid w:val="00D90392"/>
    <w:rsid w:val="00D914A3"/>
    <w:rsid w:val="00D917B4"/>
    <w:rsid w:val="00D92A92"/>
    <w:rsid w:val="00D946C1"/>
    <w:rsid w:val="00D9548A"/>
    <w:rsid w:val="00DA179D"/>
    <w:rsid w:val="00DA1E4B"/>
    <w:rsid w:val="00DA2D13"/>
    <w:rsid w:val="00DA4517"/>
    <w:rsid w:val="00DA514C"/>
    <w:rsid w:val="00DA52A7"/>
    <w:rsid w:val="00DA6CE0"/>
    <w:rsid w:val="00DA6E1F"/>
    <w:rsid w:val="00DA73E0"/>
    <w:rsid w:val="00DA7759"/>
    <w:rsid w:val="00DA7F13"/>
    <w:rsid w:val="00DB0ED0"/>
    <w:rsid w:val="00DB1636"/>
    <w:rsid w:val="00DB21ED"/>
    <w:rsid w:val="00DB4349"/>
    <w:rsid w:val="00DB6C33"/>
    <w:rsid w:val="00DB75FF"/>
    <w:rsid w:val="00DC14CF"/>
    <w:rsid w:val="00DC19A7"/>
    <w:rsid w:val="00DC1F89"/>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E6A7B"/>
    <w:rsid w:val="00DE7453"/>
    <w:rsid w:val="00DE7E5F"/>
    <w:rsid w:val="00DF0811"/>
    <w:rsid w:val="00DF0FE2"/>
    <w:rsid w:val="00DF38BD"/>
    <w:rsid w:val="00DF51EC"/>
    <w:rsid w:val="00DF588B"/>
    <w:rsid w:val="00DF6E6A"/>
    <w:rsid w:val="00DF7BE7"/>
    <w:rsid w:val="00E00EE7"/>
    <w:rsid w:val="00E01097"/>
    <w:rsid w:val="00E014CB"/>
    <w:rsid w:val="00E0205F"/>
    <w:rsid w:val="00E03E18"/>
    <w:rsid w:val="00E1004D"/>
    <w:rsid w:val="00E104D3"/>
    <w:rsid w:val="00E11D6B"/>
    <w:rsid w:val="00E125E4"/>
    <w:rsid w:val="00E12963"/>
    <w:rsid w:val="00E12ACE"/>
    <w:rsid w:val="00E13FF8"/>
    <w:rsid w:val="00E1428A"/>
    <w:rsid w:val="00E145C4"/>
    <w:rsid w:val="00E14BB3"/>
    <w:rsid w:val="00E1533D"/>
    <w:rsid w:val="00E166BC"/>
    <w:rsid w:val="00E169AA"/>
    <w:rsid w:val="00E16D8E"/>
    <w:rsid w:val="00E20C0F"/>
    <w:rsid w:val="00E20FDE"/>
    <w:rsid w:val="00E2458B"/>
    <w:rsid w:val="00E2468A"/>
    <w:rsid w:val="00E25010"/>
    <w:rsid w:val="00E274F5"/>
    <w:rsid w:val="00E32C95"/>
    <w:rsid w:val="00E32DAA"/>
    <w:rsid w:val="00E35675"/>
    <w:rsid w:val="00E36E4C"/>
    <w:rsid w:val="00E3769D"/>
    <w:rsid w:val="00E4022E"/>
    <w:rsid w:val="00E41982"/>
    <w:rsid w:val="00E42198"/>
    <w:rsid w:val="00E4488A"/>
    <w:rsid w:val="00E52B30"/>
    <w:rsid w:val="00E54EAF"/>
    <w:rsid w:val="00E558E4"/>
    <w:rsid w:val="00E563E8"/>
    <w:rsid w:val="00E56549"/>
    <w:rsid w:val="00E56680"/>
    <w:rsid w:val="00E576D2"/>
    <w:rsid w:val="00E576D8"/>
    <w:rsid w:val="00E6022B"/>
    <w:rsid w:val="00E60283"/>
    <w:rsid w:val="00E60504"/>
    <w:rsid w:val="00E62DEE"/>
    <w:rsid w:val="00E62F39"/>
    <w:rsid w:val="00E63751"/>
    <w:rsid w:val="00E63C89"/>
    <w:rsid w:val="00E647C0"/>
    <w:rsid w:val="00E648C4"/>
    <w:rsid w:val="00E650BC"/>
    <w:rsid w:val="00E66521"/>
    <w:rsid w:val="00E71C76"/>
    <w:rsid w:val="00E723A2"/>
    <w:rsid w:val="00E73C28"/>
    <w:rsid w:val="00E74DF7"/>
    <w:rsid w:val="00E75A3D"/>
    <w:rsid w:val="00E762C6"/>
    <w:rsid w:val="00E7766F"/>
    <w:rsid w:val="00E77ABB"/>
    <w:rsid w:val="00E824DD"/>
    <w:rsid w:val="00E82EA8"/>
    <w:rsid w:val="00E83161"/>
    <w:rsid w:val="00E83912"/>
    <w:rsid w:val="00E857BB"/>
    <w:rsid w:val="00E85C71"/>
    <w:rsid w:val="00E86A64"/>
    <w:rsid w:val="00E86AAD"/>
    <w:rsid w:val="00E903DB"/>
    <w:rsid w:val="00E90EAE"/>
    <w:rsid w:val="00E9196B"/>
    <w:rsid w:val="00E943BD"/>
    <w:rsid w:val="00EA186E"/>
    <w:rsid w:val="00EA5F8F"/>
    <w:rsid w:val="00EA6423"/>
    <w:rsid w:val="00EB214B"/>
    <w:rsid w:val="00EB30B4"/>
    <w:rsid w:val="00EB6AC4"/>
    <w:rsid w:val="00EB6F8D"/>
    <w:rsid w:val="00EB721D"/>
    <w:rsid w:val="00EB7428"/>
    <w:rsid w:val="00EC0025"/>
    <w:rsid w:val="00EC1380"/>
    <w:rsid w:val="00EC1463"/>
    <w:rsid w:val="00EC3E6A"/>
    <w:rsid w:val="00EC456D"/>
    <w:rsid w:val="00EC5027"/>
    <w:rsid w:val="00EC5E32"/>
    <w:rsid w:val="00EC7ADC"/>
    <w:rsid w:val="00ED1887"/>
    <w:rsid w:val="00ED2D8B"/>
    <w:rsid w:val="00ED3981"/>
    <w:rsid w:val="00ED40B7"/>
    <w:rsid w:val="00ED42A7"/>
    <w:rsid w:val="00ED51FC"/>
    <w:rsid w:val="00ED7F7F"/>
    <w:rsid w:val="00EE0626"/>
    <w:rsid w:val="00EE120F"/>
    <w:rsid w:val="00EF0C73"/>
    <w:rsid w:val="00EF36CB"/>
    <w:rsid w:val="00EF5129"/>
    <w:rsid w:val="00EF56B2"/>
    <w:rsid w:val="00EF5F2E"/>
    <w:rsid w:val="00EF6639"/>
    <w:rsid w:val="00F010A9"/>
    <w:rsid w:val="00F0347B"/>
    <w:rsid w:val="00F10C43"/>
    <w:rsid w:val="00F112C2"/>
    <w:rsid w:val="00F119E2"/>
    <w:rsid w:val="00F11AA2"/>
    <w:rsid w:val="00F12473"/>
    <w:rsid w:val="00F13393"/>
    <w:rsid w:val="00F144F4"/>
    <w:rsid w:val="00F156AC"/>
    <w:rsid w:val="00F219BB"/>
    <w:rsid w:val="00F228FA"/>
    <w:rsid w:val="00F22B53"/>
    <w:rsid w:val="00F23BCE"/>
    <w:rsid w:val="00F256A3"/>
    <w:rsid w:val="00F2598F"/>
    <w:rsid w:val="00F31901"/>
    <w:rsid w:val="00F31CA9"/>
    <w:rsid w:val="00F3278E"/>
    <w:rsid w:val="00F33C00"/>
    <w:rsid w:val="00F35D88"/>
    <w:rsid w:val="00F37431"/>
    <w:rsid w:val="00F430ED"/>
    <w:rsid w:val="00F444FD"/>
    <w:rsid w:val="00F45AAC"/>
    <w:rsid w:val="00F46624"/>
    <w:rsid w:val="00F46D96"/>
    <w:rsid w:val="00F47B40"/>
    <w:rsid w:val="00F5715D"/>
    <w:rsid w:val="00F57252"/>
    <w:rsid w:val="00F57454"/>
    <w:rsid w:val="00F57A80"/>
    <w:rsid w:val="00F57D61"/>
    <w:rsid w:val="00F611E4"/>
    <w:rsid w:val="00F61B11"/>
    <w:rsid w:val="00F623BE"/>
    <w:rsid w:val="00F63D61"/>
    <w:rsid w:val="00F64094"/>
    <w:rsid w:val="00F653FE"/>
    <w:rsid w:val="00F703F7"/>
    <w:rsid w:val="00F70EF8"/>
    <w:rsid w:val="00F721EB"/>
    <w:rsid w:val="00F723C9"/>
    <w:rsid w:val="00F72AD8"/>
    <w:rsid w:val="00F72B7B"/>
    <w:rsid w:val="00F73002"/>
    <w:rsid w:val="00F73710"/>
    <w:rsid w:val="00F74EFD"/>
    <w:rsid w:val="00F75858"/>
    <w:rsid w:val="00F769D3"/>
    <w:rsid w:val="00F80519"/>
    <w:rsid w:val="00F83B5F"/>
    <w:rsid w:val="00F8504B"/>
    <w:rsid w:val="00F860B3"/>
    <w:rsid w:val="00F86BCB"/>
    <w:rsid w:val="00F87A76"/>
    <w:rsid w:val="00F90137"/>
    <w:rsid w:val="00F9026E"/>
    <w:rsid w:val="00F90ADA"/>
    <w:rsid w:val="00F952C8"/>
    <w:rsid w:val="00F96829"/>
    <w:rsid w:val="00F97D82"/>
    <w:rsid w:val="00FA09F5"/>
    <w:rsid w:val="00FA18CD"/>
    <w:rsid w:val="00FA1A57"/>
    <w:rsid w:val="00FA2089"/>
    <w:rsid w:val="00FA2380"/>
    <w:rsid w:val="00FA2929"/>
    <w:rsid w:val="00FA3B97"/>
    <w:rsid w:val="00FA3F21"/>
    <w:rsid w:val="00FA4839"/>
    <w:rsid w:val="00FA6901"/>
    <w:rsid w:val="00FA6BAD"/>
    <w:rsid w:val="00FB19CA"/>
    <w:rsid w:val="00FB2FF5"/>
    <w:rsid w:val="00FB3E9E"/>
    <w:rsid w:val="00FB52C1"/>
    <w:rsid w:val="00FB5756"/>
    <w:rsid w:val="00FB6CBF"/>
    <w:rsid w:val="00FB6FA7"/>
    <w:rsid w:val="00FC1608"/>
    <w:rsid w:val="00FC2813"/>
    <w:rsid w:val="00FC288F"/>
    <w:rsid w:val="00FC2BEC"/>
    <w:rsid w:val="00FC2C5F"/>
    <w:rsid w:val="00FC3E19"/>
    <w:rsid w:val="00FC3FE6"/>
    <w:rsid w:val="00FC5786"/>
    <w:rsid w:val="00FC5DA4"/>
    <w:rsid w:val="00FC7178"/>
    <w:rsid w:val="00FC7BC3"/>
    <w:rsid w:val="00FD0A9E"/>
    <w:rsid w:val="00FD1368"/>
    <w:rsid w:val="00FD4174"/>
    <w:rsid w:val="00FD438B"/>
    <w:rsid w:val="00FD5707"/>
    <w:rsid w:val="00FD7527"/>
    <w:rsid w:val="00FE07B4"/>
    <w:rsid w:val="00FE1979"/>
    <w:rsid w:val="00FE1F09"/>
    <w:rsid w:val="00FE39FA"/>
    <w:rsid w:val="00FE43F1"/>
    <w:rsid w:val="00FE44E3"/>
    <w:rsid w:val="00FF038A"/>
    <w:rsid w:val="00FF17D2"/>
    <w:rsid w:val="00FF1B9C"/>
    <w:rsid w:val="00FF1EB5"/>
    <w:rsid w:val="00FF432A"/>
    <w:rsid w:val="00FF67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27"/>
    <w:pPr>
      <w:spacing w:after="160" w:line="259" w:lineRule="auto"/>
    </w:pPr>
    <w:rPr>
      <w:rFonts w:asciiTheme="minorHAnsi" w:eastAsiaTheme="minorHAnsi" w:hAnsiTheme="minorHAnsi"/>
      <w:kern w:val="0"/>
      <w:sz w:val="22"/>
      <w:szCs w:val="22"/>
      <w:lang w:val="fr-FR" w:eastAsia="en-US"/>
    </w:rPr>
  </w:style>
  <w:style w:type="paragraph" w:styleId="Titre1">
    <w:name w:val="heading 1"/>
    <w:aliases w:val="x"/>
    <w:basedOn w:val="Normal"/>
    <w:next w:val="Normal"/>
    <w:link w:val="Titre1Car"/>
    <w:qFormat/>
    <w:rsid w:val="00F87A76"/>
    <w:pPr>
      <w:spacing w:before="240"/>
      <w:outlineLvl w:val="0"/>
    </w:pPr>
    <w:rPr>
      <w:rFonts w:ascii="Arial" w:hAnsi="Arial"/>
      <w:b/>
      <w:u w:val="single"/>
    </w:rPr>
  </w:style>
  <w:style w:type="paragraph" w:styleId="Titre2">
    <w:name w:val="heading 2"/>
    <w:basedOn w:val="Normal"/>
    <w:next w:val="Normal"/>
    <w:link w:val="Titre2Car"/>
    <w:qFormat/>
    <w:rsid w:val="00F87A76"/>
    <w:pPr>
      <w:spacing w:before="120"/>
      <w:outlineLvl w:val="1"/>
    </w:pPr>
    <w:rPr>
      <w:rFonts w:ascii="Arial" w:hAnsi="Arial" w:cstheme="majorBidi"/>
      <w:b/>
    </w:rPr>
  </w:style>
  <w:style w:type="paragraph" w:styleId="Titre3">
    <w:name w:val="heading 3"/>
    <w:basedOn w:val="Normal"/>
    <w:next w:val="Normal"/>
    <w:link w:val="Titre3Car"/>
    <w:qFormat/>
    <w:rsid w:val="00F87A76"/>
    <w:pPr>
      <w:ind w:left="360"/>
      <w:outlineLvl w:val="2"/>
    </w:pPr>
    <w:rPr>
      <w:b/>
    </w:rPr>
  </w:style>
  <w:style w:type="paragraph" w:styleId="Titre4">
    <w:name w:val="heading 4"/>
    <w:basedOn w:val="Normal"/>
    <w:next w:val="Normal"/>
    <w:link w:val="Titre4Car"/>
    <w:qFormat/>
    <w:rsid w:val="00F87A76"/>
    <w:pPr>
      <w:keepNext/>
      <w:keepLines/>
      <w:spacing w:before="240" w:line="480" w:lineRule="atLeast"/>
      <w:ind w:left="907" w:hanging="907"/>
      <w:outlineLvl w:val="3"/>
    </w:pPr>
    <w:rPr>
      <w:rFonts w:ascii="Arial" w:hAnsi="Arial" w:cstheme="majorBidi"/>
      <w:b/>
    </w:rPr>
  </w:style>
  <w:style w:type="paragraph" w:styleId="Titre5">
    <w:name w:val="heading 5"/>
    <w:basedOn w:val="Normal"/>
    <w:next w:val="Normal"/>
    <w:link w:val="Titre5Car"/>
    <w:qFormat/>
    <w:rsid w:val="00F87A76"/>
    <w:pPr>
      <w:ind w:left="706"/>
      <w:outlineLvl w:val="4"/>
    </w:pPr>
    <w:rPr>
      <w:b/>
    </w:rPr>
  </w:style>
  <w:style w:type="paragraph" w:styleId="Titre6">
    <w:name w:val="heading 6"/>
    <w:basedOn w:val="Normal"/>
    <w:next w:val="Normal"/>
    <w:link w:val="Titre6Car"/>
    <w:qFormat/>
    <w:rsid w:val="00F87A76"/>
    <w:pPr>
      <w:ind w:left="706"/>
      <w:outlineLvl w:val="5"/>
    </w:pPr>
    <w:rPr>
      <w:rFonts w:cstheme="majorBidi"/>
      <w:u w:val="single"/>
    </w:rPr>
  </w:style>
  <w:style w:type="paragraph" w:styleId="Titre7">
    <w:name w:val="heading 7"/>
    <w:basedOn w:val="Normal"/>
    <w:next w:val="Normal"/>
    <w:link w:val="Titre7Car"/>
    <w:qFormat/>
    <w:rsid w:val="00F87A76"/>
    <w:pPr>
      <w:ind w:left="706"/>
      <w:outlineLvl w:val="6"/>
    </w:pPr>
    <w:rPr>
      <w:i/>
    </w:rPr>
  </w:style>
  <w:style w:type="paragraph" w:styleId="Titre8">
    <w:name w:val="heading 8"/>
    <w:basedOn w:val="Normal"/>
    <w:next w:val="Normal"/>
    <w:link w:val="Titre8Car"/>
    <w:qFormat/>
    <w:rsid w:val="00F87A76"/>
    <w:pPr>
      <w:ind w:left="706"/>
      <w:outlineLvl w:val="7"/>
    </w:pPr>
    <w:rPr>
      <w:rFonts w:cstheme="majorBidi"/>
      <w:i/>
    </w:rPr>
  </w:style>
  <w:style w:type="paragraph" w:styleId="Titre9">
    <w:name w:val="heading 9"/>
    <w:basedOn w:val="Normal"/>
    <w:next w:val="Normal"/>
    <w:link w:val="Titre9Car"/>
    <w:qFormat/>
    <w:rsid w:val="00F87A76"/>
    <w:pPr>
      <w:ind w:left="706"/>
      <w:outlineLvl w:val="8"/>
    </w:pPr>
    <w:rPr>
      <w:rFonts w:cstheme="majorBidi"/>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auNormal"/>
    <w:uiPriority w:val="99"/>
    <w:rsid w:val="008810B3"/>
    <w:pPr>
      <w:adjustRightInd w:val="0"/>
      <w:snapToGrid w:val="0"/>
      <w:spacing w:line="300" w:lineRule="exact"/>
      <w:jc w:val="center"/>
    </w:pPr>
    <w:rPr>
      <w:rFonts w:cs="Times New Roman"/>
      <w:b/>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Titre2Car">
    <w:name w:val="Titre 2 Car"/>
    <w:basedOn w:val="Policepardfaut"/>
    <w:link w:val="Titre2"/>
    <w:rsid w:val="00F87A76"/>
    <w:rPr>
      <w:rFonts w:ascii="Arial" w:eastAsia="Times New Roman" w:hAnsi="Arial" w:cstheme="majorBidi"/>
      <w:b/>
      <w:color w:val="000000"/>
      <w:kern w:val="0"/>
      <w:sz w:val="24"/>
      <w:lang w:eastAsia="de-DE"/>
    </w:rPr>
  </w:style>
  <w:style w:type="paragraph" w:customStyle="1" w:styleId="berschrift3">
    <w:name w:val="Überschrift3"/>
    <w:basedOn w:val="Titre2"/>
    <w:uiPriority w:val="99"/>
    <w:rsid w:val="00F87A76"/>
    <w:pPr>
      <w:keepNext/>
      <w:tabs>
        <w:tab w:val="num" w:pos="360"/>
      </w:tabs>
      <w:spacing w:before="0"/>
      <w:ind w:left="576" w:hanging="576"/>
    </w:pPr>
    <w:rPr>
      <w:rFonts w:cs="Arial"/>
      <w:bCs/>
      <w:iCs/>
      <w:sz w:val="18"/>
      <w:szCs w:val="28"/>
      <w:lang w:val="de-DE"/>
    </w:rPr>
  </w:style>
  <w:style w:type="character" w:customStyle="1" w:styleId="Titre1Car">
    <w:name w:val="Titre 1 Car"/>
    <w:aliases w:val="x Car"/>
    <w:basedOn w:val="Policepardfaut"/>
    <w:link w:val="Titre1"/>
    <w:rsid w:val="00F87A76"/>
    <w:rPr>
      <w:rFonts w:ascii="Arial" w:eastAsia="Times New Roman" w:hAnsi="Arial" w:cs="Times New Roman"/>
      <w:b/>
      <w:color w:val="000000"/>
      <w:kern w:val="0"/>
      <w:sz w:val="24"/>
      <w:u w:val="single"/>
      <w:lang w:eastAsia="de-DE"/>
    </w:rPr>
  </w:style>
  <w:style w:type="character" w:customStyle="1" w:styleId="Titre3Car">
    <w:name w:val="Titre 3 Car"/>
    <w:basedOn w:val="Policepardfaut"/>
    <w:link w:val="Titre3"/>
    <w:rsid w:val="00F87A76"/>
    <w:rPr>
      <w:rFonts w:eastAsia="Times New Roman" w:cs="Times New Roman"/>
      <w:b/>
      <w:color w:val="000000"/>
      <w:kern w:val="0"/>
      <w:sz w:val="24"/>
      <w:lang w:eastAsia="de-DE"/>
    </w:rPr>
  </w:style>
  <w:style w:type="character" w:customStyle="1" w:styleId="Titre4Car">
    <w:name w:val="Titre 4 Car"/>
    <w:basedOn w:val="Policepardfaut"/>
    <w:link w:val="Titre4"/>
    <w:rsid w:val="00F87A76"/>
    <w:rPr>
      <w:rFonts w:ascii="Arial" w:eastAsia="Times New Roman" w:hAnsi="Arial" w:cstheme="majorBidi"/>
      <w:b/>
      <w:color w:val="000000"/>
      <w:kern w:val="0"/>
      <w:sz w:val="24"/>
      <w:lang w:eastAsia="de-DE"/>
    </w:rPr>
  </w:style>
  <w:style w:type="character" w:customStyle="1" w:styleId="Titre5Car">
    <w:name w:val="Titre 5 Car"/>
    <w:basedOn w:val="Policepardfaut"/>
    <w:link w:val="Titre5"/>
    <w:rsid w:val="00F87A76"/>
    <w:rPr>
      <w:rFonts w:eastAsia="Times New Roman" w:cs="Times New Roman"/>
      <w:b/>
      <w:color w:val="000000"/>
      <w:kern w:val="0"/>
      <w:sz w:val="24"/>
      <w:lang w:eastAsia="de-DE"/>
    </w:rPr>
  </w:style>
  <w:style w:type="character" w:customStyle="1" w:styleId="Titre6Car">
    <w:name w:val="Titre 6 Car"/>
    <w:basedOn w:val="Policepardfaut"/>
    <w:link w:val="Titre6"/>
    <w:rsid w:val="00F87A76"/>
    <w:rPr>
      <w:rFonts w:eastAsia="Times New Roman" w:cstheme="majorBidi"/>
      <w:color w:val="000000"/>
      <w:kern w:val="0"/>
      <w:sz w:val="24"/>
      <w:u w:val="single"/>
      <w:lang w:eastAsia="de-DE"/>
    </w:rPr>
  </w:style>
  <w:style w:type="character" w:customStyle="1" w:styleId="Titre7Car">
    <w:name w:val="Titre 7 Car"/>
    <w:basedOn w:val="Policepardfaut"/>
    <w:link w:val="Titre7"/>
    <w:rsid w:val="00F87A76"/>
    <w:rPr>
      <w:rFonts w:eastAsia="Times New Roman" w:cs="Times New Roman"/>
      <w:i/>
      <w:color w:val="000000"/>
      <w:kern w:val="0"/>
      <w:sz w:val="24"/>
      <w:lang w:eastAsia="de-DE"/>
    </w:rPr>
  </w:style>
  <w:style w:type="character" w:customStyle="1" w:styleId="Titre8Car">
    <w:name w:val="Titre 8 Car"/>
    <w:basedOn w:val="Policepardfaut"/>
    <w:link w:val="Titre8"/>
    <w:rsid w:val="00F87A76"/>
    <w:rPr>
      <w:rFonts w:eastAsia="Times New Roman" w:cstheme="majorBidi"/>
      <w:i/>
      <w:color w:val="000000"/>
      <w:kern w:val="0"/>
      <w:sz w:val="24"/>
      <w:lang w:eastAsia="de-DE"/>
    </w:rPr>
  </w:style>
  <w:style w:type="character" w:customStyle="1" w:styleId="Titre9Car">
    <w:name w:val="Titre 9 Car"/>
    <w:basedOn w:val="Policepardfaut"/>
    <w:link w:val="Titre9"/>
    <w:rsid w:val="00F87A76"/>
    <w:rPr>
      <w:rFonts w:eastAsia="Times New Roman" w:cstheme="majorBidi"/>
      <w:i/>
      <w:color w:val="000000"/>
      <w:kern w:val="0"/>
      <w:sz w:val="24"/>
      <w:lang w:eastAsia="de-DE"/>
    </w:rPr>
  </w:style>
  <w:style w:type="character" w:styleId="Lienhypertexte">
    <w:name w:val="Hyperlink"/>
    <w:uiPriority w:val="99"/>
    <w:rsid w:val="00F87A76"/>
    <w:rPr>
      <w:color w:val="0000FF"/>
      <w:u w:val="single"/>
    </w:rPr>
  </w:style>
  <w:style w:type="character" w:styleId="Lienhypertextesuivivisit">
    <w:name w:val="FollowedHyperlink"/>
    <w:basedOn w:val="Policepardfaut"/>
    <w:rsid w:val="00F87A76"/>
    <w:rPr>
      <w:color w:val="954F72" w:themeColor="followedHyperlink"/>
      <w:u w:val="single"/>
    </w:rPr>
  </w:style>
  <w:style w:type="character" w:styleId="Numrodeligne">
    <w:name w:val="line number"/>
    <w:basedOn w:val="Policepardfaut"/>
    <w:uiPriority w:val="99"/>
    <w:rsid w:val="00F87A76"/>
  </w:style>
  <w:style w:type="paragraph" w:styleId="Notedebasdepage">
    <w:name w:val="footnote text"/>
    <w:basedOn w:val="Normal"/>
    <w:link w:val="NotedebasdepageCar"/>
    <w:rsid w:val="00F87A76"/>
  </w:style>
  <w:style w:type="character" w:customStyle="1" w:styleId="NotedebasdepageCar">
    <w:name w:val="Note de bas de page Car"/>
    <w:basedOn w:val="Policepardfaut"/>
    <w:link w:val="Notedebasdepage"/>
    <w:rsid w:val="00F87A76"/>
    <w:rPr>
      <w:rFonts w:eastAsia="Times New Roman" w:cs="Times New Roman"/>
      <w:color w:val="000000"/>
      <w:kern w:val="0"/>
      <w:sz w:val="24"/>
      <w:lang w:eastAsia="de-DE"/>
    </w:rPr>
  </w:style>
  <w:style w:type="paragraph" w:styleId="Liste">
    <w:name w:val="List"/>
    <w:basedOn w:val="Normal"/>
    <w:rsid w:val="00F87A76"/>
    <w:pPr>
      <w:ind w:left="200" w:hangingChars="200" w:hanging="200"/>
      <w:contextualSpacing/>
    </w:pPr>
  </w:style>
  <w:style w:type="paragraph" w:styleId="Listepuces">
    <w:name w:val="List Bullet"/>
    <w:basedOn w:val="Normal"/>
    <w:rsid w:val="00F87A76"/>
    <w:pPr>
      <w:tabs>
        <w:tab w:val="num" w:pos="360"/>
      </w:tabs>
      <w:ind w:left="200" w:hangingChars="200" w:hanging="200"/>
      <w:contextualSpacing/>
    </w:pPr>
  </w:style>
  <w:style w:type="paragraph" w:styleId="Paragraphedeliste">
    <w:name w:val="List Paragraph"/>
    <w:basedOn w:val="Normal"/>
    <w:uiPriority w:val="34"/>
    <w:qFormat/>
    <w:rsid w:val="00F87A76"/>
    <w:pPr>
      <w:ind w:firstLineChars="200" w:firstLine="420"/>
    </w:pPr>
  </w:style>
  <w:style w:type="paragraph" w:styleId="Textedebulles">
    <w:name w:val="Balloon Text"/>
    <w:basedOn w:val="Normal"/>
    <w:link w:val="TextedebullesCar"/>
    <w:uiPriority w:val="99"/>
    <w:rsid w:val="00F87A76"/>
    <w:rPr>
      <w:rFonts w:cs="Tahoma"/>
      <w:sz w:val="18"/>
      <w:szCs w:val="18"/>
    </w:rPr>
  </w:style>
  <w:style w:type="character" w:customStyle="1" w:styleId="TextedebullesCar">
    <w:name w:val="Texte de bulles Car"/>
    <w:basedOn w:val="Policepardfaut"/>
    <w:link w:val="Textedebulles"/>
    <w:uiPriority w:val="99"/>
    <w:rsid w:val="00F87A76"/>
    <w:rPr>
      <w:rFonts w:eastAsia="Times New Roman" w:cs="Tahoma"/>
      <w:color w:val="000000"/>
      <w:kern w:val="0"/>
      <w:sz w:val="18"/>
      <w:szCs w:val="18"/>
      <w:lang w:eastAsia="de-DE"/>
    </w:rPr>
  </w:style>
  <w:style w:type="paragraph" w:styleId="Commentaire">
    <w:name w:val="annotation text"/>
    <w:basedOn w:val="Normal"/>
    <w:link w:val="CommentaireCar"/>
    <w:rsid w:val="00F87A76"/>
  </w:style>
  <w:style w:type="character" w:customStyle="1" w:styleId="CommentaireCar">
    <w:name w:val="Commentaire Car"/>
    <w:basedOn w:val="Policepardfaut"/>
    <w:link w:val="Commentaire"/>
    <w:rsid w:val="00F87A76"/>
    <w:rPr>
      <w:rFonts w:eastAsia="Times New Roman" w:cs="Times New Roman"/>
      <w:color w:val="000000"/>
      <w:kern w:val="0"/>
      <w:sz w:val="24"/>
      <w:lang w:eastAsia="de-DE"/>
    </w:rPr>
  </w:style>
  <w:style w:type="character" w:styleId="Marquedecommentaire">
    <w:name w:val="annotation reference"/>
    <w:basedOn w:val="Policepardfaut"/>
    <w:rsid w:val="00F87A76"/>
    <w:rPr>
      <w:sz w:val="21"/>
      <w:szCs w:val="21"/>
    </w:rPr>
  </w:style>
  <w:style w:type="paragraph" w:styleId="Objetducommentaire">
    <w:name w:val="annotation subject"/>
    <w:basedOn w:val="Commentaire"/>
    <w:next w:val="Commentaire"/>
    <w:link w:val="ObjetducommentaireCar"/>
    <w:rsid w:val="00F87A76"/>
    <w:rPr>
      <w:b/>
      <w:bCs/>
    </w:rPr>
  </w:style>
  <w:style w:type="character" w:customStyle="1" w:styleId="ObjetducommentaireCar">
    <w:name w:val="Objet du commentaire Car"/>
    <w:basedOn w:val="CommentaireCar"/>
    <w:link w:val="Objetducommentaire"/>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ie">
    <w:name w:val="Bibliography"/>
    <w:basedOn w:val="Normal"/>
    <w:next w:val="Normal"/>
    <w:uiPriority w:val="37"/>
    <w:semiHidden/>
    <w:unhideWhenUsed/>
    <w:rsid w:val="00F87A76"/>
  </w:style>
  <w:style w:type="paragraph" w:styleId="Lgende">
    <w:name w:val="caption"/>
    <w:basedOn w:val="Normal"/>
    <w:next w:val="Normal"/>
    <w:qFormat/>
    <w:rsid w:val="00F87A76"/>
    <w:pPr>
      <w:ind w:left="850" w:hanging="850"/>
      <w:jc w:val="center"/>
    </w:pPr>
    <w:rPr>
      <w:b/>
      <w:bCs/>
      <w:szCs w:val="24"/>
    </w:rPr>
  </w:style>
  <w:style w:type="paragraph" w:styleId="Tabledesillustrations">
    <w:name w:val="table of figures"/>
    <w:basedOn w:val="Normal"/>
    <w:next w:val="Normal"/>
    <w:rsid w:val="00F87A76"/>
    <w:pPr>
      <w:tabs>
        <w:tab w:val="left" w:pos="374"/>
      </w:tabs>
      <w:snapToGrid w:val="0"/>
      <w:spacing w:line="220" w:lineRule="exact"/>
    </w:pPr>
    <w:rPr>
      <w:sz w:val="16"/>
      <w:szCs w:val="16"/>
    </w:rPr>
  </w:style>
  <w:style w:type="table" w:styleId="Grilledutableau">
    <w:name w:val="Table Grid"/>
    <w:basedOn w:val="TableauNormal"/>
    <w:uiPriority w:val="3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F87A76"/>
    <w:pPr>
      <w:spacing w:line="360" w:lineRule="auto"/>
    </w:pPr>
    <w:rPr>
      <w:szCs w:val="24"/>
      <w:lang w:val="en-GB" w:eastAsia="ar-SA"/>
    </w:rPr>
  </w:style>
  <w:style w:type="character" w:customStyle="1" w:styleId="NotedefinCar">
    <w:name w:val="Note de fin Car"/>
    <w:basedOn w:val="Policepardfaut"/>
    <w:link w:val="Notedefin"/>
    <w:rsid w:val="00F87A76"/>
    <w:rPr>
      <w:rFonts w:eastAsia="Times New Roman" w:cs="Times New Roman"/>
      <w:color w:val="000000"/>
      <w:kern w:val="0"/>
      <w:sz w:val="24"/>
      <w:szCs w:val="24"/>
      <w:lang w:val="en-GB" w:eastAsia="ar-SA"/>
    </w:rPr>
  </w:style>
  <w:style w:type="character" w:styleId="Appeldenotedefin">
    <w:name w:val="endnote reference"/>
    <w:basedOn w:val="Policepardfaut"/>
    <w:rsid w:val="00F87A76"/>
    <w:rPr>
      <w:vertAlign w:val="superscript"/>
    </w:rPr>
  </w:style>
  <w:style w:type="paragraph" w:styleId="Pieddepage">
    <w:name w:val="footer"/>
    <w:basedOn w:val="Normal"/>
    <w:link w:val="PieddepageCar"/>
    <w:uiPriority w:val="99"/>
    <w:rsid w:val="00F87A76"/>
    <w:pPr>
      <w:tabs>
        <w:tab w:val="center" w:pos="4153"/>
        <w:tab w:val="right" w:pos="8306"/>
      </w:tabs>
      <w:snapToGrid w:val="0"/>
      <w:spacing w:line="240" w:lineRule="atLeast"/>
    </w:pPr>
    <w:rPr>
      <w:sz w:val="18"/>
      <w:szCs w:val="18"/>
    </w:rPr>
  </w:style>
  <w:style w:type="character" w:customStyle="1" w:styleId="PieddepageCar">
    <w:name w:val="Pied de page Car"/>
    <w:basedOn w:val="Policepardfaut"/>
    <w:link w:val="Pieddepage"/>
    <w:uiPriority w:val="99"/>
    <w:rsid w:val="00F87A76"/>
    <w:rPr>
      <w:rFonts w:eastAsia="Times New Roman" w:cs="Times New Roman"/>
      <w:color w:val="000000"/>
      <w:kern w:val="0"/>
      <w:sz w:val="18"/>
      <w:szCs w:val="18"/>
      <w:lang w:eastAsia="de-DE"/>
    </w:rPr>
  </w:style>
  <w:style w:type="character" w:styleId="Numrodepage">
    <w:name w:val="page number"/>
    <w:basedOn w:val="Policepardfaut"/>
    <w:rsid w:val="00F87A76"/>
  </w:style>
  <w:style w:type="paragraph" w:styleId="En-tte">
    <w:name w:val="header"/>
    <w:basedOn w:val="Normal"/>
    <w:link w:val="En-tteC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En-tteCar">
    <w:name w:val="En-tête Car"/>
    <w:basedOn w:val="Policepardfaut"/>
    <w:link w:val="En-tte"/>
    <w:uiPriority w:val="99"/>
    <w:rsid w:val="00F87A76"/>
    <w:rPr>
      <w:rFonts w:eastAsia="Times New Roman" w:cs="Times New Roman"/>
      <w:color w:val="000000"/>
      <w:kern w:val="0"/>
      <w:sz w:val="18"/>
      <w:szCs w:val="18"/>
      <w:lang w:eastAsia="de-DE"/>
    </w:rPr>
  </w:style>
  <w:style w:type="paragraph" w:styleId="Corpsdetexte">
    <w:name w:val="Body Text"/>
    <w:link w:val="CorpsdetexteCar"/>
    <w:rsid w:val="00F87A76"/>
    <w:pPr>
      <w:spacing w:after="120" w:line="340" w:lineRule="atLeast"/>
      <w:jc w:val="both"/>
    </w:pPr>
    <w:rPr>
      <w:rFonts w:cs="Times New Roman"/>
      <w:color w:val="000000"/>
      <w:kern w:val="0"/>
      <w:sz w:val="24"/>
      <w:lang w:eastAsia="de-DE"/>
    </w:rPr>
  </w:style>
  <w:style w:type="character" w:customStyle="1" w:styleId="CorpsdetexteCar">
    <w:name w:val="Corps de texte Car"/>
    <w:basedOn w:val="Policepardfaut"/>
    <w:link w:val="Corpsdetexte"/>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Textedelespacerserv">
    <w:name w:val="Placeholder Text"/>
    <w:basedOn w:val="Policepardfau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b/>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customStyle="1" w:styleId="Listecouleur-Accent11">
    <w:name w:val="Liste couleur - Accent 11"/>
    <w:basedOn w:val="Normal"/>
    <w:uiPriority w:val="34"/>
    <w:qFormat/>
    <w:rsid w:val="00D43FA0"/>
    <w:pPr>
      <w:ind w:left="720"/>
      <w:contextualSpacing/>
    </w:pPr>
    <w:rPr>
      <w:rFonts w:ascii="Calibri" w:eastAsia="Calibri" w:hAnsi="Calibri"/>
    </w:rPr>
  </w:style>
  <w:style w:type="character" w:styleId="lev">
    <w:name w:val="Strong"/>
    <w:basedOn w:val="Policepardfaut"/>
    <w:uiPriority w:val="22"/>
    <w:qFormat/>
    <w:rsid w:val="00145BFF"/>
    <w:rPr>
      <w:b/>
      <w:bCs/>
    </w:rPr>
  </w:style>
  <w:style w:type="paragraph" w:styleId="Rvision">
    <w:name w:val="Revision"/>
    <w:hidden/>
    <w:uiPriority w:val="99"/>
    <w:semiHidden/>
    <w:rsid w:val="008075ED"/>
    <w:rPr>
      <w:rFonts w:eastAsia="Times New Roman" w:cs="Times New Roman"/>
      <w:color w:val="000000"/>
      <w:kern w:val="0"/>
      <w:sz w:val="24"/>
      <w:lang w:eastAsia="de-DE"/>
    </w:rPr>
  </w:style>
  <w:style w:type="paragraph" w:customStyle="1" w:styleId="Default">
    <w:name w:val="Default"/>
    <w:rsid w:val="0029181E"/>
    <w:pPr>
      <w:autoSpaceDE w:val="0"/>
      <w:autoSpaceDN w:val="0"/>
      <w:adjustRightInd w:val="0"/>
    </w:pPr>
    <w:rPr>
      <w:rFonts w:ascii="Calibri" w:hAnsi="Calibri" w:cs="Calibri"/>
      <w:color w:val="000000"/>
      <w:kern w:val="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27"/>
    <w:pPr>
      <w:spacing w:after="160" w:line="259" w:lineRule="auto"/>
    </w:pPr>
    <w:rPr>
      <w:rFonts w:asciiTheme="minorHAnsi" w:eastAsiaTheme="minorHAnsi" w:hAnsiTheme="minorHAnsi"/>
      <w:kern w:val="0"/>
      <w:sz w:val="22"/>
      <w:szCs w:val="22"/>
      <w:lang w:val="fr-FR" w:eastAsia="en-US"/>
    </w:rPr>
  </w:style>
  <w:style w:type="paragraph" w:styleId="Titre1">
    <w:name w:val="heading 1"/>
    <w:aliases w:val="x"/>
    <w:basedOn w:val="Normal"/>
    <w:next w:val="Normal"/>
    <w:link w:val="Titre1Car"/>
    <w:qFormat/>
    <w:rsid w:val="00F87A76"/>
    <w:pPr>
      <w:spacing w:before="240"/>
      <w:outlineLvl w:val="0"/>
    </w:pPr>
    <w:rPr>
      <w:rFonts w:ascii="Arial" w:hAnsi="Arial"/>
      <w:b/>
      <w:u w:val="single"/>
    </w:rPr>
  </w:style>
  <w:style w:type="paragraph" w:styleId="Titre2">
    <w:name w:val="heading 2"/>
    <w:basedOn w:val="Normal"/>
    <w:next w:val="Normal"/>
    <w:link w:val="Titre2Car"/>
    <w:qFormat/>
    <w:rsid w:val="00F87A76"/>
    <w:pPr>
      <w:spacing w:before="120"/>
      <w:outlineLvl w:val="1"/>
    </w:pPr>
    <w:rPr>
      <w:rFonts w:ascii="Arial" w:hAnsi="Arial" w:cstheme="majorBidi"/>
      <w:b/>
    </w:rPr>
  </w:style>
  <w:style w:type="paragraph" w:styleId="Titre3">
    <w:name w:val="heading 3"/>
    <w:basedOn w:val="Normal"/>
    <w:next w:val="Normal"/>
    <w:link w:val="Titre3Car"/>
    <w:qFormat/>
    <w:rsid w:val="00F87A76"/>
    <w:pPr>
      <w:ind w:left="360"/>
      <w:outlineLvl w:val="2"/>
    </w:pPr>
    <w:rPr>
      <w:b/>
    </w:rPr>
  </w:style>
  <w:style w:type="paragraph" w:styleId="Titre4">
    <w:name w:val="heading 4"/>
    <w:basedOn w:val="Normal"/>
    <w:next w:val="Normal"/>
    <w:link w:val="Titre4Car"/>
    <w:qFormat/>
    <w:rsid w:val="00F87A76"/>
    <w:pPr>
      <w:keepNext/>
      <w:keepLines/>
      <w:spacing w:before="240" w:line="480" w:lineRule="atLeast"/>
      <w:ind w:left="907" w:hanging="907"/>
      <w:outlineLvl w:val="3"/>
    </w:pPr>
    <w:rPr>
      <w:rFonts w:ascii="Arial" w:hAnsi="Arial" w:cstheme="majorBidi"/>
      <w:b/>
    </w:rPr>
  </w:style>
  <w:style w:type="paragraph" w:styleId="Titre5">
    <w:name w:val="heading 5"/>
    <w:basedOn w:val="Normal"/>
    <w:next w:val="Normal"/>
    <w:link w:val="Titre5Car"/>
    <w:qFormat/>
    <w:rsid w:val="00F87A76"/>
    <w:pPr>
      <w:ind w:left="706"/>
      <w:outlineLvl w:val="4"/>
    </w:pPr>
    <w:rPr>
      <w:b/>
    </w:rPr>
  </w:style>
  <w:style w:type="paragraph" w:styleId="Titre6">
    <w:name w:val="heading 6"/>
    <w:basedOn w:val="Normal"/>
    <w:next w:val="Normal"/>
    <w:link w:val="Titre6Car"/>
    <w:qFormat/>
    <w:rsid w:val="00F87A76"/>
    <w:pPr>
      <w:ind w:left="706"/>
      <w:outlineLvl w:val="5"/>
    </w:pPr>
    <w:rPr>
      <w:rFonts w:cstheme="majorBidi"/>
      <w:u w:val="single"/>
    </w:rPr>
  </w:style>
  <w:style w:type="paragraph" w:styleId="Titre7">
    <w:name w:val="heading 7"/>
    <w:basedOn w:val="Normal"/>
    <w:next w:val="Normal"/>
    <w:link w:val="Titre7Car"/>
    <w:qFormat/>
    <w:rsid w:val="00F87A76"/>
    <w:pPr>
      <w:ind w:left="706"/>
      <w:outlineLvl w:val="6"/>
    </w:pPr>
    <w:rPr>
      <w:i/>
    </w:rPr>
  </w:style>
  <w:style w:type="paragraph" w:styleId="Titre8">
    <w:name w:val="heading 8"/>
    <w:basedOn w:val="Normal"/>
    <w:next w:val="Normal"/>
    <w:link w:val="Titre8Car"/>
    <w:qFormat/>
    <w:rsid w:val="00F87A76"/>
    <w:pPr>
      <w:ind w:left="706"/>
      <w:outlineLvl w:val="7"/>
    </w:pPr>
    <w:rPr>
      <w:rFonts w:cstheme="majorBidi"/>
      <w:i/>
    </w:rPr>
  </w:style>
  <w:style w:type="paragraph" w:styleId="Titre9">
    <w:name w:val="heading 9"/>
    <w:basedOn w:val="Normal"/>
    <w:next w:val="Normal"/>
    <w:link w:val="Titre9Car"/>
    <w:qFormat/>
    <w:rsid w:val="00F87A76"/>
    <w:pPr>
      <w:ind w:left="706"/>
      <w:outlineLvl w:val="8"/>
    </w:pPr>
    <w:rPr>
      <w:rFonts w:cstheme="majorBidi"/>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auNormal"/>
    <w:uiPriority w:val="99"/>
    <w:rsid w:val="008810B3"/>
    <w:pPr>
      <w:adjustRightInd w:val="0"/>
      <w:snapToGrid w:val="0"/>
      <w:spacing w:line="300" w:lineRule="exact"/>
      <w:jc w:val="center"/>
    </w:pPr>
    <w:rPr>
      <w:rFonts w:cs="Times New Roman"/>
      <w:b/>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Titre2Car">
    <w:name w:val="Titre 2 Car"/>
    <w:basedOn w:val="Policepardfaut"/>
    <w:link w:val="Titre2"/>
    <w:rsid w:val="00F87A76"/>
    <w:rPr>
      <w:rFonts w:ascii="Arial" w:eastAsia="Times New Roman" w:hAnsi="Arial" w:cstheme="majorBidi"/>
      <w:b/>
      <w:color w:val="000000"/>
      <w:kern w:val="0"/>
      <w:sz w:val="24"/>
      <w:lang w:eastAsia="de-DE"/>
    </w:rPr>
  </w:style>
  <w:style w:type="paragraph" w:customStyle="1" w:styleId="berschrift3">
    <w:name w:val="Überschrift3"/>
    <w:basedOn w:val="Titre2"/>
    <w:uiPriority w:val="99"/>
    <w:rsid w:val="00F87A76"/>
    <w:pPr>
      <w:keepNext/>
      <w:tabs>
        <w:tab w:val="num" w:pos="360"/>
      </w:tabs>
      <w:spacing w:before="0"/>
      <w:ind w:left="576" w:hanging="576"/>
    </w:pPr>
    <w:rPr>
      <w:rFonts w:cs="Arial"/>
      <w:bCs/>
      <w:iCs/>
      <w:sz w:val="18"/>
      <w:szCs w:val="28"/>
      <w:lang w:val="de-DE"/>
    </w:rPr>
  </w:style>
  <w:style w:type="character" w:customStyle="1" w:styleId="Titre1Car">
    <w:name w:val="Titre 1 Car"/>
    <w:aliases w:val="x Car"/>
    <w:basedOn w:val="Policepardfaut"/>
    <w:link w:val="Titre1"/>
    <w:rsid w:val="00F87A76"/>
    <w:rPr>
      <w:rFonts w:ascii="Arial" w:eastAsia="Times New Roman" w:hAnsi="Arial" w:cs="Times New Roman"/>
      <w:b/>
      <w:color w:val="000000"/>
      <w:kern w:val="0"/>
      <w:sz w:val="24"/>
      <w:u w:val="single"/>
      <w:lang w:eastAsia="de-DE"/>
    </w:rPr>
  </w:style>
  <w:style w:type="character" w:customStyle="1" w:styleId="Titre3Car">
    <w:name w:val="Titre 3 Car"/>
    <w:basedOn w:val="Policepardfaut"/>
    <w:link w:val="Titre3"/>
    <w:rsid w:val="00F87A76"/>
    <w:rPr>
      <w:rFonts w:eastAsia="Times New Roman" w:cs="Times New Roman"/>
      <w:b/>
      <w:color w:val="000000"/>
      <w:kern w:val="0"/>
      <w:sz w:val="24"/>
      <w:lang w:eastAsia="de-DE"/>
    </w:rPr>
  </w:style>
  <w:style w:type="character" w:customStyle="1" w:styleId="Titre4Car">
    <w:name w:val="Titre 4 Car"/>
    <w:basedOn w:val="Policepardfaut"/>
    <w:link w:val="Titre4"/>
    <w:rsid w:val="00F87A76"/>
    <w:rPr>
      <w:rFonts w:ascii="Arial" w:eastAsia="Times New Roman" w:hAnsi="Arial" w:cstheme="majorBidi"/>
      <w:b/>
      <w:color w:val="000000"/>
      <w:kern w:val="0"/>
      <w:sz w:val="24"/>
      <w:lang w:eastAsia="de-DE"/>
    </w:rPr>
  </w:style>
  <w:style w:type="character" w:customStyle="1" w:styleId="Titre5Car">
    <w:name w:val="Titre 5 Car"/>
    <w:basedOn w:val="Policepardfaut"/>
    <w:link w:val="Titre5"/>
    <w:rsid w:val="00F87A76"/>
    <w:rPr>
      <w:rFonts w:eastAsia="Times New Roman" w:cs="Times New Roman"/>
      <w:b/>
      <w:color w:val="000000"/>
      <w:kern w:val="0"/>
      <w:sz w:val="24"/>
      <w:lang w:eastAsia="de-DE"/>
    </w:rPr>
  </w:style>
  <w:style w:type="character" w:customStyle="1" w:styleId="Titre6Car">
    <w:name w:val="Titre 6 Car"/>
    <w:basedOn w:val="Policepardfaut"/>
    <w:link w:val="Titre6"/>
    <w:rsid w:val="00F87A76"/>
    <w:rPr>
      <w:rFonts w:eastAsia="Times New Roman" w:cstheme="majorBidi"/>
      <w:color w:val="000000"/>
      <w:kern w:val="0"/>
      <w:sz w:val="24"/>
      <w:u w:val="single"/>
      <w:lang w:eastAsia="de-DE"/>
    </w:rPr>
  </w:style>
  <w:style w:type="character" w:customStyle="1" w:styleId="Titre7Car">
    <w:name w:val="Titre 7 Car"/>
    <w:basedOn w:val="Policepardfaut"/>
    <w:link w:val="Titre7"/>
    <w:rsid w:val="00F87A76"/>
    <w:rPr>
      <w:rFonts w:eastAsia="Times New Roman" w:cs="Times New Roman"/>
      <w:i/>
      <w:color w:val="000000"/>
      <w:kern w:val="0"/>
      <w:sz w:val="24"/>
      <w:lang w:eastAsia="de-DE"/>
    </w:rPr>
  </w:style>
  <w:style w:type="character" w:customStyle="1" w:styleId="Titre8Car">
    <w:name w:val="Titre 8 Car"/>
    <w:basedOn w:val="Policepardfaut"/>
    <w:link w:val="Titre8"/>
    <w:rsid w:val="00F87A76"/>
    <w:rPr>
      <w:rFonts w:eastAsia="Times New Roman" w:cstheme="majorBidi"/>
      <w:i/>
      <w:color w:val="000000"/>
      <w:kern w:val="0"/>
      <w:sz w:val="24"/>
      <w:lang w:eastAsia="de-DE"/>
    </w:rPr>
  </w:style>
  <w:style w:type="character" w:customStyle="1" w:styleId="Titre9Car">
    <w:name w:val="Titre 9 Car"/>
    <w:basedOn w:val="Policepardfaut"/>
    <w:link w:val="Titre9"/>
    <w:rsid w:val="00F87A76"/>
    <w:rPr>
      <w:rFonts w:eastAsia="Times New Roman" w:cstheme="majorBidi"/>
      <w:i/>
      <w:color w:val="000000"/>
      <w:kern w:val="0"/>
      <w:sz w:val="24"/>
      <w:lang w:eastAsia="de-DE"/>
    </w:rPr>
  </w:style>
  <w:style w:type="character" w:styleId="Lienhypertexte">
    <w:name w:val="Hyperlink"/>
    <w:uiPriority w:val="99"/>
    <w:rsid w:val="00F87A76"/>
    <w:rPr>
      <w:color w:val="0000FF"/>
      <w:u w:val="single"/>
    </w:rPr>
  </w:style>
  <w:style w:type="character" w:styleId="Lienhypertextesuivivisit">
    <w:name w:val="FollowedHyperlink"/>
    <w:basedOn w:val="Policepardfaut"/>
    <w:rsid w:val="00F87A76"/>
    <w:rPr>
      <w:color w:val="954F72" w:themeColor="followedHyperlink"/>
      <w:u w:val="single"/>
    </w:rPr>
  </w:style>
  <w:style w:type="character" w:styleId="Numrodeligne">
    <w:name w:val="line number"/>
    <w:basedOn w:val="Policepardfaut"/>
    <w:uiPriority w:val="99"/>
    <w:rsid w:val="00F87A76"/>
  </w:style>
  <w:style w:type="paragraph" w:styleId="Notedebasdepage">
    <w:name w:val="footnote text"/>
    <w:basedOn w:val="Normal"/>
    <w:link w:val="NotedebasdepageCar"/>
    <w:rsid w:val="00F87A76"/>
  </w:style>
  <w:style w:type="character" w:customStyle="1" w:styleId="NotedebasdepageCar">
    <w:name w:val="Note de bas de page Car"/>
    <w:basedOn w:val="Policepardfaut"/>
    <w:link w:val="Notedebasdepage"/>
    <w:rsid w:val="00F87A76"/>
    <w:rPr>
      <w:rFonts w:eastAsia="Times New Roman" w:cs="Times New Roman"/>
      <w:color w:val="000000"/>
      <w:kern w:val="0"/>
      <w:sz w:val="24"/>
      <w:lang w:eastAsia="de-DE"/>
    </w:rPr>
  </w:style>
  <w:style w:type="paragraph" w:styleId="Liste">
    <w:name w:val="List"/>
    <w:basedOn w:val="Normal"/>
    <w:rsid w:val="00F87A76"/>
    <w:pPr>
      <w:ind w:left="200" w:hangingChars="200" w:hanging="200"/>
      <w:contextualSpacing/>
    </w:pPr>
  </w:style>
  <w:style w:type="paragraph" w:styleId="Listepuces">
    <w:name w:val="List Bullet"/>
    <w:basedOn w:val="Normal"/>
    <w:rsid w:val="00F87A76"/>
    <w:pPr>
      <w:tabs>
        <w:tab w:val="num" w:pos="360"/>
      </w:tabs>
      <w:ind w:left="200" w:hangingChars="200" w:hanging="200"/>
      <w:contextualSpacing/>
    </w:pPr>
  </w:style>
  <w:style w:type="paragraph" w:styleId="Paragraphedeliste">
    <w:name w:val="List Paragraph"/>
    <w:basedOn w:val="Normal"/>
    <w:uiPriority w:val="34"/>
    <w:qFormat/>
    <w:rsid w:val="00F87A76"/>
    <w:pPr>
      <w:ind w:firstLineChars="200" w:firstLine="420"/>
    </w:pPr>
  </w:style>
  <w:style w:type="paragraph" w:styleId="Textedebulles">
    <w:name w:val="Balloon Text"/>
    <w:basedOn w:val="Normal"/>
    <w:link w:val="TextedebullesCar"/>
    <w:uiPriority w:val="99"/>
    <w:rsid w:val="00F87A76"/>
    <w:rPr>
      <w:rFonts w:cs="Tahoma"/>
      <w:sz w:val="18"/>
      <w:szCs w:val="18"/>
    </w:rPr>
  </w:style>
  <w:style w:type="character" w:customStyle="1" w:styleId="TextedebullesCar">
    <w:name w:val="Texte de bulles Car"/>
    <w:basedOn w:val="Policepardfaut"/>
    <w:link w:val="Textedebulles"/>
    <w:uiPriority w:val="99"/>
    <w:rsid w:val="00F87A76"/>
    <w:rPr>
      <w:rFonts w:eastAsia="Times New Roman" w:cs="Tahoma"/>
      <w:color w:val="000000"/>
      <w:kern w:val="0"/>
      <w:sz w:val="18"/>
      <w:szCs w:val="18"/>
      <w:lang w:eastAsia="de-DE"/>
    </w:rPr>
  </w:style>
  <w:style w:type="paragraph" w:styleId="Commentaire">
    <w:name w:val="annotation text"/>
    <w:basedOn w:val="Normal"/>
    <w:link w:val="CommentaireCar"/>
    <w:rsid w:val="00F87A76"/>
  </w:style>
  <w:style w:type="character" w:customStyle="1" w:styleId="CommentaireCar">
    <w:name w:val="Commentaire Car"/>
    <w:basedOn w:val="Policepardfaut"/>
    <w:link w:val="Commentaire"/>
    <w:rsid w:val="00F87A76"/>
    <w:rPr>
      <w:rFonts w:eastAsia="Times New Roman" w:cs="Times New Roman"/>
      <w:color w:val="000000"/>
      <w:kern w:val="0"/>
      <w:sz w:val="24"/>
      <w:lang w:eastAsia="de-DE"/>
    </w:rPr>
  </w:style>
  <w:style w:type="character" w:styleId="Marquedecommentaire">
    <w:name w:val="annotation reference"/>
    <w:basedOn w:val="Policepardfaut"/>
    <w:rsid w:val="00F87A76"/>
    <w:rPr>
      <w:sz w:val="21"/>
      <w:szCs w:val="21"/>
    </w:rPr>
  </w:style>
  <w:style w:type="paragraph" w:styleId="Objetducommentaire">
    <w:name w:val="annotation subject"/>
    <w:basedOn w:val="Commentaire"/>
    <w:next w:val="Commentaire"/>
    <w:link w:val="ObjetducommentaireCar"/>
    <w:rsid w:val="00F87A76"/>
    <w:rPr>
      <w:b/>
      <w:bCs/>
    </w:rPr>
  </w:style>
  <w:style w:type="character" w:customStyle="1" w:styleId="ObjetducommentaireCar">
    <w:name w:val="Objet du commentaire Car"/>
    <w:basedOn w:val="CommentaireCar"/>
    <w:link w:val="Objetducommentaire"/>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ie">
    <w:name w:val="Bibliography"/>
    <w:basedOn w:val="Normal"/>
    <w:next w:val="Normal"/>
    <w:uiPriority w:val="37"/>
    <w:semiHidden/>
    <w:unhideWhenUsed/>
    <w:rsid w:val="00F87A76"/>
  </w:style>
  <w:style w:type="paragraph" w:styleId="Lgende">
    <w:name w:val="caption"/>
    <w:basedOn w:val="Normal"/>
    <w:next w:val="Normal"/>
    <w:qFormat/>
    <w:rsid w:val="00F87A76"/>
    <w:pPr>
      <w:ind w:left="850" w:hanging="850"/>
      <w:jc w:val="center"/>
    </w:pPr>
    <w:rPr>
      <w:b/>
      <w:bCs/>
      <w:szCs w:val="24"/>
    </w:rPr>
  </w:style>
  <w:style w:type="paragraph" w:styleId="Tabledesillustrations">
    <w:name w:val="table of figures"/>
    <w:basedOn w:val="Normal"/>
    <w:next w:val="Normal"/>
    <w:rsid w:val="00F87A76"/>
    <w:pPr>
      <w:tabs>
        <w:tab w:val="left" w:pos="374"/>
      </w:tabs>
      <w:snapToGrid w:val="0"/>
      <w:spacing w:line="220" w:lineRule="exact"/>
    </w:pPr>
    <w:rPr>
      <w:sz w:val="16"/>
      <w:szCs w:val="16"/>
    </w:rPr>
  </w:style>
  <w:style w:type="table" w:styleId="Grilledutableau">
    <w:name w:val="Table Grid"/>
    <w:basedOn w:val="TableauNormal"/>
    <w:uiPriority w:val="3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F87A76"/>
    <w:pPr>
      <w:spacing w:line="360" w:lineRule="auto"/>
    </w:pPr>
    <w:rPr>
      <w:szCs w:val="24"/>
      <w:lang w:val="en-GB" w:eastAsia="ar-SA"/>
    </w:rPr>
  </w:style>
  <w:style w:type="character" w:customStyle="1" w:styleId="NotedefinCar">
    <w:name w:val="Note de fin Car"/>
    <w:basedOn w:val="Policepardfaut"/>
    <w:link w:val="Notedefin"/>
    <w:rsid w:val="00F87A76"/>
    <w:rPr>
      <w:rFonts w:eastAsia="Times New Roman" w:cs="Times New Roman"/>
      <w:color w:val="000000"/>
      <w:kern w:val="0"/>
      <w:sz w:val="24"/>
      <w:szCs w:val="24"/>
      <w:lang w:val="en-GB" w:eastAsia="ar-SA"/>
    </w:rPr>
  </w:style>
  <w:style w:type="character" w:styleId="Appeldenotedefin">
    <w:name w:val="endnote reference"/>
    <w:basedOn w:val="Policepardfaut"/>
    <w:rsid w:val="00F87A76"/>
    <w:rPr>
      <w:vertAlign w:val="superscript"/>
    </w:rPr>
  </w:style>
  <w:style w:type="paragraph" w:styleId="Pieddepage">
    <w:name w:val="footer"/>
    <w:basedOn w:val="Normal"/>
    <w:link w:val="PieddepageCar"/>
    <w:uiPriority w:val="99"/>
    <w:rsid w:val="00F87A76"/>
    <w:pPr>
      <w:tabs>
        <w:tab w:val="center" w:pos="4153"/>
        <w:tab w:val="right" w:pos="8306"/>
      </w:tabs>
      <w:snapToGrid w:val="0"/>
      <w:spacing w:line="240" w:lineRule="atLeast"/>
    </w:pPr>
    <w:rPr>
      <w:sz w:val="18"/>
      <w:szCs w:val="18"/>
    </w:rPr>
  </w:style>
  <w:style w:type="character" w:customStyle="1" w:styleId="PieddepageCar">
    <w:name w:val="Pied de page Car"/>
    <w:basedOn w:val="Policepardfaut"/>
    <w:link w:val="Pieddepage"/>
    <w:uiPriority w:val="99"/>
    <w:rsid w:val="00F87A76"/>
    <w:rPr>
      <w:rFonts w:eastAsia="Times New Roman" w:cs="Times New Roman"/>
      <w:color w:val="000000"/>
      <w:kern w:val="0"/>
      <w:sz w:val="18"/>
      <w:szCs w:val="18"/>
      <w:lang w:eastAsia="de-DE"/>
    </w:rPr>
  </w:style>
  <w:style w:type="character" w:styleId="Numrodepage">
    <w:name w:val="page number"/>
    <w:basedOn w:val="Policepardfaut"/>
    <w:rsid w:val="00F87A76"/>
  </w:style>
  <w:style w:type="paragraph" w:styleId="En-tte">
    <w:name w:val="header"/>
    <w:basedOn w:val="Normal"/>
    <w:link w:val="En-tteC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En-tteCar">
    <w:name w:val="En-tête Car"/>
    <w:basedOn w:val="Policepardfaut"/>
    <w:link w:val="En-tte"/>
    <w:uiPriority w:val="99"/>
    <w:rsid w:val="00F87A76"/>
    <w:rPr>
      <w:rFonts w:eastAsia="Times New Roman" w:cs="Times New Roman"/>
      <w:color w:val="000000"/>
      <w:kern w:val="0"/>
      <w:sz w:val="18"/>
      <w:szCs w:val="18"/>
      <w:lang w:eastAsia="de-DE"/>
    </w:rPr>
  </w:style>
  <w:style w:type="paragraph" w:styleId="Corpsdetexte">
    <w:name w:val="Body Text"/>
    <w:link w:val="CorpsdetexteCar"/>
    <w:rsid w:val="00F87A76"/>
    <w:pPr>
      <w:spacing w:after="120" w:line="340" w:lineRule="atLeast"/>
      <w:jc w:val="both"/>
    </w:pPr>
    <w:rPr>
      <w:rFonts w:cs="Times New Roman"/>
      <w:color w:val="000000"/>
      <w:kern w:val="0"/>
      <w:sz w:val="24"/>
      <w:lang w:eastAsia="de-DE"/>
    </w:rPr>
  </w:style>
  <w:style w:type="character" w:customStyle="1" w:styleId="CorpsdetexteCar">
    <w:name w:val="Corps de texte Car"/>
    <w:basedOn w:val="Policepardfaut"/>
    <w:link w:val="Corpsdetexte"/>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Textedelespacerserv">
    <w:name w:val="Placeholder Text"/>
    <w:basedOn w:val="Policepardfau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b/>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customStyle="1" w:styleId="Listecouleur-Accent11">
    <w:name w:val="Liste couleur - Accent 11"/>
    <w:basedOn w:val="Normal"/>
    <w:uiPriority w:val="34"/>
    <w:qFormat/>
    <w:rsid w:val="00D43FA0"/>
    <w:pPr>
      <w:ind w:left="720"/>
      <w:contextualSpacing/>
    </w:pPr>
    <w:rPr>
      <w:rFonts w:ascii="Calibri" w:eastAsia="Calibri" w:hAnsi="Calibri"/>
    </w:rPr>
  </w:style>
  <w:style w:type="character" w:styleId="lev">
    <w:name w:val="Strong"/>
    <w:basedOn w:val="Policepardfaut"/>
    <w:uiPriority w:val="22"/>
    <w:qFormat/>
    <w:rsid w:val="00145BFF"/>
    <w:rPr>
      <w:b/>
      <w:bCs/>
    </w:rPr>
  </w:style>
  <w:style w:type="paragraph" w:styleId="Rvision">
    <w:name w:val="Revision"/>
    <w:hidden/>
    <w:uiPriority w:val="99"/>
    <w:semiHidden/>
    <w:rsid w:val="008075ED"/>
    <w:rPr>
      <w:rFonts w:eastAsia="Times New Roman" w:cs="Times New Roman"/>
      <w:color w:val="000000"/>
      <w:kern w:val="0"/>
      <w:sz w:val="24"/>
      <w:lang w:eastAsia="de-DE"/>
    </w:rPr>
  </w:style>
  <w:style w:type="paragraph" w:customStyle="1" w:styleId="Default">
    <w:name w:val="Default"/>
    <w:rsid w:val="0029181E"/>
    <w:pPr>
      <w:autoSpaceDE w:val="0"/>
      <w:autoSpaceDN w:val="0"/>
      <w:adjustRightInd w:val="0"/>
    </w:pPr>
    <w:rPr>
      <w:rFonts w:ascii="Calibri" w:hAnsi="Calibri" w:cs="Calibri"/>
      <w:color w:val="000000"/>
      <w:kern w:val="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2908">
      <w:bodyDiv w:val="1"/>
      <w:marLeft w:val="0"/>
      <w:marRight w:val="0"/>
      <w:marTop w:val="0"/>
      <w:marBottom w:val="0"/>
      <w:divBdr>
        <w:top w:val="none" w:sz="0" w:space="0" w:color="auto"/>
        <w:left w:val="none" w:sz="0" w:space="0" w:color="auto"/>
        <w:bottom w:val="none" w:sz="0" w:space="0" w:color="auto"/>
        <w:right w:val="none" w:sz="0" w:space="0" w:color="auto"/>
      </w:divBdr>
    </w:div>
    <w:div w:id="125053832">
      <w:bodyDiv w:val="1"/>
      <w:marLeft w:val="0"/>
      <w:marRight w:val="0"/>
      <w:marTop w:val="0"/>
      <w:marBottom w:val="0"/>
      <w:divBdr>
        <w:top w:val="none" w:sz="0" w:space="0" w:color="auto"/>
        <w:left w:val="none" w:sz="0" w:space="0" w:color="auto"/>
        <w:bottom w:val="none" w:sz="0" w:space="0" w:color="auto"/>
        <w:right w:val="none" w:sz="0" w:space="0" w:color="auto"/>
      </w:divBdr>
    </w:div>
    <w:div w:id="210851781">
      <w:bodyDiv w:val="1"/>
      <w:marLeft w:val="0"/>
      <w:marRight w:val="0"/>
      <w:marTop w:val="0"/>
      <w:marBottom w:val="0"/>
      <w:divBdr>
        <w:top w:val="none" w:sz="0" w:space="0" w:color="auto"/>
        <w:left w:val="none" w:sz="0" w:space="0" w:color="auto"/>
        <w:bottom w:val="none" w:sz="0" w:space="0" w:color="auto"/>
        <w:right w:val="none" w:sz="0" w:space="0" w:color="auto"/>
      </w:divBdr>
    </w:div>
    <w:div w:id="578832894">
      <w:bodyDiv w:val="1"/>
      <w:marLeft w:val="0"/>
      <w:marRight w:val="0"/>
      <w:marTop w:val="0"/>
      <w:marBottom w:val="0"/>
      <w:divBdr>
        <w:top w:val="none" w:sz="0" w:space="0" w:color="auto"/>
        <w:left w:val="none" w:sz="0" w:space="0" w:color="auto"/>
        <w:bottom w:val="none" w:sz="0" w:space="0" w:color="auto"/>
        <w:right w:val="none" w:sz="0" w:space="0" w:color="auto"/>
      </w:divBdr>
    </w:div>
    <w:div w:id="758336393">
      <w:bodyDiv w:val="1"/>
      <w:marLeft w:val="0"/>
      <w:marRight w:val="0"/>
      <w:marTop w:val="0"/>
      <w:marBottom w:val="0"/>
      <w:divBdr>
        <w:top w:val="none" w:sz="0" w:space="0" w:color="auto"/>
        <w:left w:val="none" w:sz="0" w:space="0" w:color="auto"/>
        <w:bottom w:val="none" w:sz="0" w:space="0" w:color="auto"/>
        <w:right w:val="none" w:sz="0" w:space="0" w:color="auto"/>
      </w:divBdr>
    </w:div>
    <w:div w:id="855072420">
      <w:bodyDiv w:val="1"/>
      <w:marLeft w:val="0"/>
      <w:marRight w:val="0"/>
      <w:marTop w:val="0"/>
      <w:marBottom w:val="0"/>
      <w:divBdr>
        <w:top w:val="none" w:sz="0" w:space="0" w:color="auto"/>
        <w:left w:val="none" w:sz="0" w:space="0" w:color="auto"/>
        <w:bottom w:val="none" w:sz="0" w:space="0" w:color="auto"/>
        <w:right w:val="none" w:sz="0" w:space="0" w:color="auto"/>
      </w:divBdr>
    </w:div>
    <w:div w:id="982271393">
      <w:bodyDiv w:val="1"/>
      <w:marLeft w:val="0"/>
      <w:marRight w:val="0"/>
      <w:marTop w:val="0"/>
      <w:marBottom w:val="0"/>
      <w:divBdr>
        <w:top w:val="none" w:sz="0" w:space="0" w:color="auto"/>
        <w:left w:val="none" w:sz="0" w:space="0" w:color="auto"/>
        <w:bottom w:val="none" w:sz="0" w:space="0" w:color="auto"/>
        <w:right w:val="none" w:sz="0" w:space="0" w:color="auto"/>
      </w:divBdr>
    </w:div>
    <w:div w:id="1165167325">
      <w:bodyDiv w:val="1"/>
      <w:marLeft w:val="0"/>
      <w:marRight w:val="0"/>
      <w:marTop w:val="0"/>
      <w:marBottom w:val="0"/>
      <w:divBdr>
        <w:top w:val="none" w:sz="0" w:space="0" w:color="auto"/>
        <w:left w:val="none" w:sz="0" w:space="0" w:color="auto"/>
        <w:bottom w:val="none" w:sz="0" w:space="0" w:color="auto"/>
        <w:right w:val="none" w:sz="0" w:space="0" w:color="auto"/>
      </w:divBdr>
    </w:div>
    <w:div w:id="1233661432">
      <w:bodyDiv w:val="1"/>
      <w:marLeft w:val="0"/>
      <w:marRight w:val="0"/>
      <w:marTop w:val="0"/>
      <w:marBottom w:val="0"/>
      <w:divBdr>
        <w:top w:val="none" w:sz="0" w:space="0" w:color="auto"/>
        <w:left w:val="none" w:sz="0" w:space="0" w:color="auto"/>
        <w:bottom w:val="none" w:sz="0" w:space="0" w:color="auto"/>
        <w:right w:val="none" w:sz="0" w:space="0" w:color="auto"/>
      </w:divBdr>
    </w:div>
    <w:div w:id="1509296814">
      <w:bodyDiv w:val="1"/>
      <w:marLeft w:val="0"/>
      <w:marRight w:val="0"/>
      <w:marTop w:val="0"/>
      <w:marBottom w:val="0"/>
      <w:divBdr>
        <w:top w:val="none" w:sz="0" w:space="0" w:color="auto"/>
        <w:left w:val="none" w:sz="0" w:space="0" w:color="auto"/>
        <w:bottom w:val="none" w:sz="0" w:space="0" w:color="auto"/>
        <w:right w:val="none" w:sz="0" w:space="0" w:color="auto"/>
      </w:divBdr>
    </w:div>
    <w:div w:id="16735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afssa.fr/Documents/PASER-Ra-INCA2.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economie.gouv.fr/daj/recommandation-nutrition,"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economie.gouv.fr/daj/oeap-archives-recommandation-nutrition-gem-rcn-completee-et-mise-a-jour-10-octobre-2011" TargetMode="External"/><Relationship Id="rId28" Type="http://schemas.openxmlformats.org/officeDocument/2006/relationships/header" Target="header1.xml"/><Relationship Id="rId10" Type="http://schemas.openxmlformats.org/officeDocument/2006/relationships/hyperlink" Target="mailto:c.duchene@interbev.fr" TargetMode="External"/><Relationship Id="rId19" Type="http://schemas.openxmlformats.org/officeDocument/2006/relationships/image" Target="media/image9.emf"/><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solce@free.fr" TargetMode="External"/><Relationship Id="rId14" Type="http://schemas.openxmlformats.org/officeDocument/2006/relationships/image" Target="media/image4.png"/><Relationship Id="rId22" Type="http://schemas.openxmlformats.org/officeDocument/2006/relationships/hyperlink" Target="http://www" TargetMode="External"/><Relationship Id="rId27" Type="http://schemas.openxmlformats.org/officeDocument/2006/relationships/image" Target="media/image12.wmf"/><Relationship Id="rId30" Type="http://schemas.openxmlformats.org/officeDocument/2006/relationships/footer" Target="footer1.xml"/><Relationship Id="rId35"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ent\Downloads\nutrients-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45A55-25DE-4583-8C4F-A74F5934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nutrients-template.dot</Template>
  <TotalTime>0</TotalTime>
  <Pages>20</Pages>
  <Words>32518</Words>
  <Characters>178853</Characters>
  <Application>Microsoft Office Word</Application>
  <DocSecurity>4</DocSecurity>
  <Lines>1490</Lines>
  <Paragraphs>421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Microsoft</Company>
  <LinksUpToDate>false</LinksUpToDate>
  <CharactersWithSpaces>210950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florent</dc:creator>
  <cp:lastModifiedBy>Jean-Walter Schleich</cp:lastModifiedBy>
  <cp:revision>2</cp:revision>
  <cp:lastPrinted>2017-12-08T05:58:00Z</cp:lastPrinted>
  <dcterms:created xsi:type="dcterms:W3CDTF">2018-02-09T14:45:00Z</dcterms:created>
  <dcterms:modified xsi:type="dcterms:W3CDTF">2018-02-09T14:45:00Z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http://www.zotero.org/styles/european-journal-of-nutrition</vt:lpwstr>
  </property>
  <property fmtid="{D5CDD505-2E9C-101B-9397-08002B2CF9AE}" pid="5" name="Mendeley Recent Style Name 1_1">
    <vt:lpwstr>European Journal of Nutrition</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http://www.zotero.org/styles/nature</vt:lpwstr>
  </property>
  <property fmtid="{D5CDD505-2E9C-101B-9397-08002B2CF9AE}" pid="11" name="Mendeley Recent Style Name 4_1">
    <vt:lpwstr>Nature</vt:lpwstr>
  </property>
  <property fmtid="{D5CDD505-2E9C-101B-9397-08002B2CF9AE}" pid="12" name="Mendeley Recent Style Id 5_1">
    <vt:lpwstr>http://www.zotero.org/styles/notes_eco</vt:lpwstr>
  </property>
  <property fmtid="{D5CDD505-2E9C-101B-9397-08002B2CF9AE}" pid="13" name="Mendeley Recent Style Name 5_1">
    <vt:lpwstr>Notes eco</vt:lpwstr>
  </property>
  <property fmtid="{D5CDD505-2E9C-101B-9397-08002B2CF9AE}" pid="14" name="Mendeley Recent Style Id 6_1">
    <vt:lpwstr>http://www.zotero.org/styles/nutrients</vt:lpwstr>
  </property>
  <property fmtid="{D5CDD505-2E9C-101B-9397-08002B2CF9AE}" pid="15" name="Mendeley Recent Style Name 6_1">
    <vt:lpwstr>Nutrients</vt:lpwstr>
  </property>
  <property fmtid="{D5CDD505-2E9C-101B-9397-08002B2CF9AE}" pid="16" name="Mendeley Recent Style Id 7_1">
    <vt:lpwstr>http://www.zotero.org/styles/plos-one</vt:lpwstr>
  </property>
  <property fmtid="{D5CDD505-2E9C-101B-9397-08002B2CF9AE}" pid="17" name="Mendeley Recent Style Name 7_1">
    <vt:lpwstr>PLOS ONE</vt:lpwstr>
  </property>
  <property fmtid="{D5CDD505-2E9C-101B-9397-08002B2CF9AE}" pid="18" name="Mendeley Recent Style Id 8_1">
    <vt:lpwstr>http://www.zotero.org/styles/the-american-journal-of-clinical-nutrition</vt:lpwstr>
  </property>
  <property fmtid="{D5CDD505-2E9C-101B-9397-08002B2CF9AE}" pid="19" name="Mendeley Recent Style Name 8_1">
    <vt:lpwstr>The American Journal of Clinical Nutrition</vt:lpwstr>
  </property>
  <property fmtid="{D5CDD505-2E9C-101B-9397-08002B2CF9AE}" pid="20" name="Mendeley Recent Style Id 9_1">
    <vt:lpwstr>http://www.zotero.org/styles/the-new-england-journal-of-medicine</vt:lpwstr>
  </property>
  <property fmtid="{D5CDD505-2E9C-101B-9397-08002B2CF9AE}" pid="21" name="Mendeley Recent Style Name 9_1">
    <vt:lpwstr>The New England Journal of Medicine</vt:lpwstr>
  </property>
  <property fmtid="{D5CDD505-2E9C-101B-9397-08002B2CF9AE}" pid="22" name="Mendeley Document_1">
    <vt:lpwstr>True</vt:lpwstr>
  </property>
  <property fmtid="{D5CDD505-2E9C-101B-9397-08002B2CF9AE}" pid="23" name="Mendeley Citation Style_1">
    <vt:lpwstr>http://www.zotero.org/styles/nutrients</vt:lpwstr>
  </property>
  <property fmtid="{D5CDD505-2E9C-101B-9397-08002B2CF9AE}" pid="24" name="Mendeley Unique User Id_1">
    <vt:lpwstr>d98210fd-fbf2-3120-82ff-0ec839c43674</vt:lpwstr>
  </property>
</Properties>
</file>