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DF4" w:rsidRDefault="001F75B6" w:rsidP="00E57DF4">
      <w:pPr>
        <w:jc w:val="center"/>
        <w:rPr>
          <w:rFonts w:ascii="Arial" w:hAnsi="Arial" w:cs="Arial"/>
        </w:rPr>
      </w:pPr>
      <w:r w:rsidRPr="00E57DF4">
        <w:rPr>
          <w:rFonts w:ascii="Arial" w:hAnsi="Arial" w:cs="Arial"/>
        </w:rPr>
        <w:t>Droit et habitude :</w:t>
      </w:r>
    </w:p>
    <w:p w:rsidR="00FE21AE" w:rsidRPr="00E57DF4" w:rsidRDefault="001F75B6" w:rsidP="00E57DF4">
      <w:pPr>
        <w:jc w:val="center"/>
        <w:rPr>
          <w:rFonts w:ascii="Arial" w:hAnsi="Arial" w:cs="Arial"/>
        </w:rPr>
      </w:pPr>
      <w:proofErr w:type="gramStart"/>
      <w:r w:rsidRPr="00E57DF4">
        <w:rPr>
          <w:rFonts w:ascii="Arial" w:hAnsi="Arial" w:cs="Arial"/>
        </w:rPr>
        <w:t>une</w:t>
      </w:r>
      <w:proofErr w:type="gramEnd"/>
      <w:r w:rsidRPr="00E57DF4">
        <w:rPr>
          <w:rFonts w:ascii="Arial" w:hAnsi="Arial" w:cs="Arial"/>
        </w:rPr>
        <w:t xml:space="preserve"> typologie modale des relations possibles entre droit et habitude</w:t>
      </w:r>
    </w:p>
    <w:p w:rsidR="001F75B6" w:rsidRDefault="001F75B6" w:rsidP="00E57DF4">
      <w:pPr>
        <w:jc w:val="center"/>
      </w:pPr>
    </w:p>
    <w:p w:rsidR="00F31DEF" w:rsidRDefault="00F31DEF" w:rsidP="00E57DF4">
      <w:pPr>
        <w:jc w:val="center"/>
      </w:pPr>
      <w:r>
        <w:t>Xavier Magnon</w:t>
      </w:r>
    </w:p>
    <w:p w:rsidR="00F31DEF" w:rsidRPr="00611D2C" w:rsidRDefault="00F31DEF" w:rsidP="00F31DEF">
      <w:pPr>
        <w:jc w:val="center"/>
      </w:pPr>
      <w:r w:rsidRPr="00611D2C">
        <w:t>Professeur de droit public</w:t>
      </w:r>
    </w:p>
    <w:p w:rsidR="00F31DEF" w:rsidRDefault="00F31DEF" w:rsidP="00F31DEF">
      <w:pPr>
        <w:jc w:val="center"/>
      </w:pPr>
      <w:r w:rsidRPr="00611D2C">
        <w:t xml:space="preserve">Aix Marseille </w:t>
      </w:r>
      <w:proofErr w:type="spellStart"/>
      <w:r w:rsidRPr="00611D2C">
        <w:t>Univ</w:t>
      </w:r>
      <w:proofErr w:type="spellEnd"/>
      <w:r w:rsidRPr="00611D2C">
        <w:t xml:space="preserve">, Université de Toulon, </w:t>
      </w:r>
      <w:proofErr w:type="spellStart"/>
      <w:r w:rsidRPr="00611D2C">
        <w:t>Univ</w:t>
      </w:r>
      <w:proofErr w:type="spellEnd"/>
      <w:r w:rsidRPr="00611D2C">
        <w:t xml:space="preserve"> Pau &amp; Pays Adour, CNRS, DICE, ILF, Aix-en-Provence, </w:t>
      </w:r>
      <w:r>
        <w:t>France</w:t>
      </w:r>
    </w:p>
    <w:p w:rsidR="00F31DEF" w:rsidRDefault="00F31DEF" w:rsidP="00E57DF4">
      <w:pPr>
        <w:jc w:val="center"/>
      </w:pPr>
    </w:p>
    <w:p w:rsidR="00F31DEF" w:rsidRDefault="00F31DEF" w:rsidP="00E57DF4">
      <w:pPr>
        <w:jc w:val="center"/>
      </w:pPr>
    </w:p>
    <w:p w:rsidR="00F722B2" w:rsidRDefault="001F75B6">
      <w:r>
        <w:t>Le sujet</w:t>
      </w:r>
      <w:r w:rsidR="00C06399">
        <w:t xml:space="preserve">, </w:t>
      </w:r>
      <w:r w:rsidR="00C06399" w:rsidRPr="00C06399">
        <w:rPr>
          <w:i/>
        </w:rPr>
        <w:t>droit et habitude</w:t>
      </w:r>
      <w:r w:rsidR="00C06399">
        <w:t>,</w:t>
      </w:r>
      <w:r>
        <w:t xml:space="preserve"> présente</w:t>
      </w:r>
      <w:r w:rsidR="009C4F24">
        <w:t>,</w:t>
      </w:r>
      <w:r>
        <w:t xml:space="preserve"> de deux manières au moins</w:t>
      </w:r>
      <w:r w:rsidR="009C4F24">
        <w:t>,</w:t>
      </w:r>
      <w:r>
        <w:t xml:space="preserve"> une dimension théorique constitutive. </w:t>
      </w:r>
    </w:p>
    <w:p w:rsidR="00F722B2" w:rsidRDefault="00F722B2"/>
    <w:p w:rsidR="00F722B2" w:rsidRDefault="00F722B2">
      <w:r>
        <w:t>I</w:t>
      </w:r>
      <w:r w:rsidR="001F75B6">
        <w:t>l impose</w:t>
      </w:r>
      <w:r>
        <w:t>, en premier lieu,</w:t>
      </w:r>
      <w:r w:rsidR="001F75B6">
        <w:t xml:space="preserve"> </w:t>
      </w:r>
      <w:r w:rsidR="00782691">
        <w:t>de définir le droit.</w:t>
      </w:r>
      <w:r w:rsidR="009C4F24">
        <w:t xml:space="preserve"> C</w:t>
      </w:r>
      <w:r w:rsidR="001F75B6">
        <w:t xml:space="preserve">ette question est une question </w:t>
      </w:r>
      <w:r w:rsidR="00C06399">
        <w:t>délicate</w:t>
      </w:r>
      <w:r w:rsidR="00DA11BB">
        <w:t>,</w:t>
      </w:r>
      <w:r w:rsidR="00C06399">
        <w:t xml:space="preserve"> </w:t>
      </w:r>
      <w:r w:rsidR="001F75B6">
        <w:t>de théorie du droit</w:t>
      </w:r>
      <w:r w:rsidR="00782691">
        <w:t xml:space="preserve">, </w:t>
      </w:r>
      <w:r w:rsidR="00B3292D">
        <w:t xml:space="preserve">qui ne fait pas l’objet d’une résolution commune </w:t>
      </w:r>
      <w:r w:rsidR="00782691">
        <w:t xml:space="preserve">par </w:t>
      </w:r>
      <w:r w:rsidR="00B3292D">
        <w:t xml:space="preserve">l’ensemble de </w:t>
      </w:r>
      <w:r w:rsidR="00782691">
        <w:t>la science du droit</w:t>
      </w:r>
      <w:r w:rsidR="001F75B6">
        <w:t xml:space="preserve">. </w:t>
      </w:r>
    </w:p>
    <w:p w:rsidR="00F722B2" w:rsidRDefault="00F722B2"/>
    <w:p w:rsidR="0079208F" w:rsidRDefault="001F75B6">
      <w:r>
        <w:t>Dans le prolongement, et de manière tout aussi décisive, l’opposition des termes</w:t>
      </w:r>
      <w:r w:rsidR="00782691">
        <w:t>, droit et habitude,</w:t>
      </w:r>
      <w:r>
        <w:t xml:space="preserve"> renvoie</w:t>
      </w:r>
      <w:r w:rsidR="0079208F">
        <w:t>, en second lieu,</w:t>
      </w:r>
      <w:r>
        <w:t xml:space="preserve"> à une question s</w:t>
      </w:r>
      <w:r w:rsidR="00775DEC">
        <w:t>tructurante d</w:t>
      </w:r>
      <w:r w:rsidR="00C06399">
        <w:t>a</w:t>
      </w:r>
      <w:r w:rsidR="00775DEC">
        <w:t>ns la science du droit</w:t>
      </w:r>
      <w:r>
        <w:t xml:space="preserve">, à savoir la distinction entre le </w:t>
      </w:r>
      <w:r w:rsidRPr="0079208F">
        <w:rPr>
          <w:i/>
        </w:rPr>
        <w:t>droit</w:t>
      </w:r>
      <w:r>
        <w:t xml:space="preserve"> et le </w:t>
      </w:r>
      <w:r w:rsidRPr="0079208F">
        <w:rPr>
          <w:i/>
        </w:rPr>
        <w:t>fait</w:t>
      </w:r>
      <w:r w:rsidR="009C4F24">
        <w:t>, ce que d’autres ont qualifié d</w:t>
      </w:r>
      <w:proofErr w:type="gramStart"/>
      <w:r w:rsidR="009C4F24">
        <w:t>’«</w:t>
      </w:r>
      <w:proofErr w:type="gramEnd"/>
      <w:r w:rsidR="009C4F24">
        <w:t> </w:t>
      </w:r>
      <w:r w:rsidR="009C4F24" w:rsidRPr="0079208F">
        <w:rPr>
          <w:i/>
        </w:rPr>
        <w:t>être</w:t>
      </w:r>
      <w:r w:rsidR="009C4F24">
        <w:t> » et de « </w:t>
      </w:r>
      <w:r w:rsidR="009C4F24" w:rsidRPr="0079208F">
        <w:rPr>
          <w:i/>
        </w:rPr>
        <w:t>devoir être</w:t>
      </w:r>
      <w:r w:rsidR="009C4F24">
        <w:t> »</w:t>
      </w:r>
      <w:r w:rsidR="00E11BD2">
        <w:rPr>
          <w:rStyle w:val="Appelnotedebasdep"/>
        </w:rPr>
        <w:footnoteReference w:id="1"/>
      </w:r>
      <w:r>
        <w:t xml:space="preserve">. </w:t>
      </w:r>
    </w:p>
    <w:p w:rsidR="0079208F" w:rsidRDefault="0079208F"/>
    <w:p w:rsidR="0079208F" w:rsidRDefault="00512B3B">
      <w:r>
        <w:t>Pour le sujet qui nous occupe, si l’on peut</w:t>
      </w:r>
      <w:r w:rsidR="009C4F24">
        <w:t>,</w:t>
      </w:r>
      <w:r>
        <w:t xml:space="preserve"> </w:t>
      </w:r>
      <w:r w:rsidR="00487E4D">
        <w:t xml:space="preserve">sans doute, évacuer la </w:t>
      </w:r>
      <w:r w:rsidR="009C4F24">
        <w:t xml:space="preserve">question de la </w:t>
      </w:r>
      <w:r w:rsidR="00487E4D">
        <w:t xml:space="preserve">définition du droit, </w:t>
      </w:r>
      <w:proofErr w:type="gramStart"/>
      <w:r w:rsidR="00487E4D">
        <w:t>il</w:t>
      </w:r>
      <w:proofErr w:type="gramEnd"/>
      <w:r w:rsidR="00487E4D">
        <w:t xml:space="preserve"> s</w:t>
      </w:r>
      <w:r w:rsidR="0079208F">
        <w:t>emble difficile de ne pas expliciter</w:t>
      </w:r>
      <w:r w:rsidR="00487E4D">
        <w:t xml:space="preserve"> la distinction entre le </w:t>
      </w:r>
      <w:r w:rsidR="00487E4D" w:rsidRPr="00C06399">
        <w:rPr>
          <w:i/>
        </w:rPr>
        <w:t>droit</w:t>
      </w:r>
      <w:r w:rsidR="00487E4D">
        <w:t xml:space="preserve"> et le </w:t>
      </w:r>
      <w:r w:rsidR="00487E4D" w:rsidRPr="00C06399">
        <w:rPr>
          <w:i/>
        </w:rPr>
        <w:t>fait</w:t>
      </w:r>
      <w:r w:rsidR="00487E4D">
        <w:t>.</w:t>
      </w:r>
      <w:r w:rsidR="009C4F24">
        <w:t xml:space="preserve"> </w:t>
      </w:r>
    </w:p>
    <w:p w:rsidR="0079208F" w:rsidRDefault="0079208F"/>
    <w:p w:rsidR="00487E4D" w:rsidRDefault="00487E4D">
      <w:r>
        <w:t xml:space="preserve">Reprenons </w:t>
      </w:r>
      <w:r w:rsidR="009C4F24">
        <w:t xml:space="preserve">chacun de </w:t>
      </w:r>
      <w:r>
        <w:t>ces deux points.</w:t>
      </w:r>
    </w:p>
    <w:p w:rsidR="009C4F24" w:rsidRDefault="009C4F24"/>
    <w:p w:rsidR="006774D1" w:rsidRDefault="009C4F24">
      <w:r>
        <w:t xml:space="preserve">La question de la définition du droit soulève encore aujourd’hui des discussions, d’autant plus nourries qu’elles </w:t>
      </w:r>
      <w:r w:rsidR="006774D1">
        <w:t>se sont régénérées avec l’apparition d’une lecture globalisée du droit et de nouvelles formes de normativité</w:t>
      </w:r>
      <w:r w:rsidR="0045413B">
        <w:t>,</w:t>
      </w:r>
      <w:r w:rsidR="006774D1">
        <w:t xml:space="preserve"> du droit souple ou droit gazeux</w:t>
      </w:r>
      <w:r w:rsidR="0045413B">
        <w:t>,</w:t>
      </w:r>
      <w:r w:rsidR="006774D1">
        <w:t xml:space="preserve"> en passant par le droit mou</w:t>
      </w:r>
      <w:r w:rsidR="0079208F">
        <w:rPr>
          <w:rStyle w:val="Appelnotedebasdep"/>
        </w:rPr>
        <w:footnoteReference w:id="2"/>
      </w:r>
      <w:r w:rsidR="006774D1">
        <w:t>. Il existe un malentendu ontologique des juristes sur leur objet</w:t>
      </w:r>
      <w:r w:rsidR="00FF11B4">
        <w:t xml:space="preserve"> à un niveau </w:t>
      </w:r>
      <w:r w:rsidR="00F92B8C">
        <w:t>inédit au regard des</w:t>
      </w:r>
      <w:r w:rsidR="006774D1">
        <w:t xml:space="preserve"> autres sciences sociales. Il n’est pas ici question de résoudre cette difficulté, ni même d’ailleurs de rappeler la définition </w:t>
      </w:r>
      <w:proofErr w:type="spellStart"/>
      <w:r w:rsidR="006774D1">
        <w:t>normativiste</w:t>
      </w:r>
      <w:proofErr w:type="spellEnd"/>
      <w:r w:rsidR="00083799">
        <w:t>,</w:t>
      </w:r>
      <w:r w:rsidR="006774D1">
        <w:t xml:space="preserve"> sous-jacente</w:t>
      </w:r>
      <w:r w:rsidR="00083799">
        <w:t>,</w:t>
      </w:r>
      <w:r w:rsidR="006774D1">
        <w:t xml:space="preserve"> qui sera la nôtre dans ses quelques lignes, de peu</w:t>
      </w:r>
      <w:r w:rsidR="00083799">
        <w:t>r de décourager trop rapidement</w:t>
      </w:r>
      <w:r w:rsidR="006774D1">
        <w:t xml:space="preserve"> le lecteur. Retenons simplement que les éléments de la définition </w:t>
      </w:r>
      <w:proofErr w:type="spellStart"/>
      <w:r w:rsidR="006774D1">
        <w:t>normativiste</w:t>
      </w:r>
      <w:proofErr w:type="spellEnd"/>
      <w:r w:rsidR="006774D1">
        <w:t xml:space="preserve"> du droit seront savamment distillés au cours de</w:t>
      </w:r>
      <w:r w:rsidR="00FF11B4">
        <w:t>s développements</w:t>
      </w:r>
      <w:r w:rsidR="006774D1">
        <w:t xml:space="preserve"> </w:t>
      </w:r>
      <w:r w:rsidR="00FF11B4">
        <w:t>qui suivront</w:t>
      </w:r>
      <w:r w:rsidR="00A060C9">
        <w:rPr>
          <w:rStyle w:val="Appelnotedebasdep"/>
        </w:rPr>
        <w:footnoteReference w:id="3"/>
      </w:r>
      <w:r w:rsidR="006774D1">
        <w:t xml:space="preserve">. Il n’en </w:t>
      </w:r>
      <w:proofErr w:type="gramStart"/>
      <w:r w:rsidR="006774D1">
        <w:lastRenderedPageBreak/>
        <w:t>reste</w:t>
      </w:r>
      <w:proofErr w:type="gramEnd"/>
      <w:r w:rsidR="006774D1">
        <w:t xml:space="preserve"> pas moins que poser une définition du droit n’est sans doute pas nécessaire pour éclairer les liens que celui-ci entretient avec l’habitude ou, pour le dire de manière plus précise, l’étude de ces relations</w:t>
      </w:r>
      <w:r w:rsidR="007D7EE9">
        <w:t>, entre droit et habitude,</w:t>
      </w:r>
      <w:r w:rsidR="006774D1">
        <w:t xml:space="preserve"> ne dépend pas</w:t>
      </w:r>
      <w:r w:rsidR="00A060C9">
        <w:t>, du moins</w:t>
      </w:r>
      <w:r w:rsidR="006774D1">
        <w:t xml:space="preserve"> de manière immédiate</w:t>
      </w:r>
      <w:r w:rsidR="00A060C9">
        <w:t>,</w:t>
      </w:r>
      <w:r w:rsidR="006774D1">
        <w:t xml:space="preserve"> de la définition du droit</w:t>
      </w:r>
      <w:r w:rsidR="00083799" w:rsidRPr="00083799">
        <w:t xml:space="preserve"> </w:t>
      </w:r>
      <w:r w:rsidR="00083799">
        <w:t>que l’on retient</w:t>
      </w:r>
      <w:r w:rsidR="006774D1">
        <w:t>.</w:t>
      </w:r>
    </w:p>
    <w:p w:rsidR="00487E4D" w:rsidRDefault="00487E4D"/>
    <w:p w:rsidR="006774D1" w:rsidRDefault="006774D1">
      <w:r>
        <w:t xml:space="preserve">Il est </w:t>
      </w:r>
      <w:r w:rsidR="007D7EE9">
        <w:t xml:space="preserve">en </w:t>
      </w:r>
      <w:r>
        <w:t xml:space="preserve">revanche nécessaire d’éclairer la distinction du </w:t>
      </w:r>
      <w:r w:rsidRPr="00A060C9">
        <w:rPr>
          <w:i/>
        </w:rPr>
        <w:t>droit</w:t>
      </w:r>
      <w:r>
        <w:t xml:space="preserve"> et du </w:t>
      </w:r>
      <w:r w:rsidRPr="00A060C9">
        <w:rPr>
          <w:i/>
        </w:rPr>
        <w:t>fait</w:t>
      </w:r>
      <w:r>
        <w:t xml:space="preserve"> dans la mesure où l’habitude, sans que nous ne l’ayons e</w:t>
      </w:r>
      <w:r w:rsidR="007D2939">
        <w:t>ncore défini</w:t>
      </w:r>
      <w:r w:rsidR="00A060C9">
        <w:t>e</w:t>
      </w:r>
      <w:r w:rsidR="007D2939">
        <w:t xml:space="preserve">, </w:t>
      </w:r>
      <w:r>
        <w:t xml:space="preserve">s’inscrit dans le domaine des </w:t>
      </w:r>
      <w:r w:rsidRPr="00A060C9">
        <w:rPr>
          <w:i/>
        </w:rPr>
        <w:t>faits</w:t>
      </w:r>
      <w:r>
        <w:t xml:space="preserve">, des </w:t>
      </w:r>
      <w:r w:rsidRPr="00A060C9">
        <w:rPr>
          <w:i/>
        </w:rPr>
        <w:t xml:space="preserve">comportements effectivement </w:t>
      </w:r>
      <w:r w:rsidR="007D2939" w:rsidRPr="00A060C9">
        <w:rPr>
          <w:i/>
        </w:rPr>
        <w:t>accomplis</w:t>
      </w:r>
      <w:r w:rsidR="007D2939">
        <w:t>. Trois séries de précision</w:t>
      </w:r>
      <w:r w:rsidR="003D3EF2">
        <w:t>s</w:t>
      </w:r>
      <w:r w:rsidR="007D2939">
        <w:t xml:space="preserve"> semble</w:t>
      </w:r>
      <w:r w:rsidR="003D3EF2">
        <w:t>nt</w:t>
      </w:r>
      <w:r w:rsidR="007D2939">
        <w:t xml:space="preserve"> devoir être apportées sur cette distinction.</w:t>
      </w:r>
    </w:p>
    <w:p w:rsidR="007D2939" w:rsidRDefault="007D2939"/>
    <w:p w:rsidR="007D2939" w:rsidRDefault="007D2939">
      <w:r>
        <w:t>Le droit est d’abord une réalité objectivement observable en tant que phénomène social. Il existe en effet un objet qualifié de « droit » qui, sans forcément se qualifier</w:t>
      </w:r>
      <w:r w:rsidR="00A060C9">
        <w:t>,</w:t>
      </w:r>
      <w:r w:rsidR="00A060C9" w:rsidRPr="00A060C9">
        <w:t xml:space="preserve"> </w:t>
      </w:r>
      <w:r w:rsidR="00A060C9">
        <w:t>lui-même,</w:t>
      </w:r>
      <w:r>
        <w:t xml:space="preserve"> comme tel, </w:t>
      </w:r>
      <w:r w:rsidR="00A060C9">
        <w:t xml:space="preserve">c’est-à-dire comme du « droit », </w:t>
      </w:r>
      <w:r>
        <w:t>se concré</w:t>
      </w:r>
      <w:r w:rsidR="007D7EE9">
        <w:t>tise dans des supports physique</w:t>
      </w:r>
      <w:r>
        <w:t xml:space="preserve">, </w:t>
      </w:r>
      <w:r w:rsidR="00A060C9">
        <w:t>recueil, ou im</w:t>
      </w:r>
      <w:r w:rsidR="00F177F5">
        <w:t>matériel, site internet</w:t>
      </w:r>
      <w:r w:rsidR="00A060C9">
        <w:t xml:space="preserve">, </w:t>
      </w:r>
      <w:r>
        <w:t>formalisant des énoncés de certains types qui prennent la dénomi</w:t>
      </w:r>
      <w:r w:rsidR="008E6CDE">
        <w:t>n</w:t>
      </w:r>
      <w:r>
        <w:t>ation de loi, de Constitution, de décret</w:t>
      </w:r>
      <w:r w:rsidR="007D7EE9">
        <w:t xml:space="preserve"> ou</w:t>
      </w:r>
      <w:r>
        <w:t xml:space="preserve"> </w:t>
      </w:r>
      <w:r w:rsidR="008E6CDE">
        <w:t xml:space="preserve">de contrat et qui forment un </w:t>
      </w:r>
      <w:r w:rsidR="0045413B">
        <w:t>en</w:t>
      </w:r>
      <w:r w:rsidR="008E6CDE">
        <w:t>se</w:t>
      </w:r>
      <w:r>
        <w:t>mble présentant des éléments communs</w:t>
      </w:r>
      <w:r w:rsidR="0045413B">
        <w:t>,</w:t>
      </w:r>
      <w:r>
        <w:t xml:space="preserve"> susceptibles d’être reconnu</w:t>
      </w:r>
      <w:r w:rsidR="007D7EE9">
        <w:t>s</w:t>
      </w:r>
      <w:r>
        <w:t xml:space="preserve"> comme étant le droit. Le concept de droit décrit ainsi une réalité objective</w:t>
      </w:r>
      <w:r w:rsidR="0045413B">
        <w:t xml:space="preserve"> : </w:t>
      </w:r>
      <w:r>
        <w:t xml:space="preserve">des Constitutions, des lois, des décrets qui prennent la forme d’un support physique </w:t>
      </w:r>
      <w:r w:rsidR="0045413B">
        <w:t xml:space="preserve">ou immatériel réel. </w:t>
      </w:r>
      <w:r>
        <w:t xml:space="preserve">Aussi </w:t>
      </w:r>
      <w:r w:rsidR="0045413B">
        <w:t>« </w:t>
      </w:r>
      <w:r>
        <w:t>faire du droit</w:t>
      </w:r>
      <w:r w:rsidR="0045413B">
        <w:t> »</w:t>
      </w:r>
      <w:r>
        <w:t xml:space="preserve"> se distingue</w:t>
      </w:r>
      <w:r w:rsidR="0045413B">
        <w:t>-t-il</w:t>
      </w:r>
      <w:r>
        <w:t xml:space="preserve"> fortement de </w:t>
      </w:r>
      <w:r w:rsidR="0045413B">
        <w:t>« </w:t>
      </w:r>
      <w:r>
        <w:t>faire de l’astrologie</w:t>
      </w:r>
      <w:r w:rsidR="0045413B">
        <w:t> »</w:t>
      </w:r>
      <w:r>
        <w:t xml:space="preserve"> au regard de l’existence d’une réalité physique objectivement observable</w:t>
      </w:r>
      <w:r w:rsidR="008E6CDE">
        <w:t>. Le juriste, la science du droit, observe</w:t>
      </w:r>
      <w:r w:rsidR="007D7EE9">
        <w:t>nt</w:t>
      </w:r>
      <w:r w:rsidR="008E6CDE">
        <w:t xml:space="preserve"> un objet réel. </w:t>
      </w:r>
    </w:p>
    <w:p w:rsidR="008E6CDE" w:rsidRDefault="008E6CDE"/>
    <w:p w:rsidR="00BE7EEE" w:rsidRDefault="003C3151">
      <w:r>
        <w:t>D</w:t>
      </w:r>
      <w:r w:rsidR="008E6CDE">
        <w:t xml:space="preserve">roit </w:t>
      </w:r>
      <w:r>
        <w:t xml:space="preserve">et fait </w:t>
      </w:r>
      <w:r w:rsidR="008E6CDE">
        <w:t>se distingue</w:t>
      </w:r>
      <w:r>
        <w:t>nt, ensuite</w:t>
      </w:r>
      <w:r w:rsidR="008E6CDE">
        <w:t>, non</w:t>
      </w:r>
      <w:r>
        <w:t xml:space="preserve"> seulement dans les liens qu’il</w:t>
      </w:r>
      <w:r w:rsidR="0030725E">
        <w:t>s</w:t>
      </w:r>
      <w:r w:rsidR="008E6CDE">
        <w:t xml:space="preserve"> entretiennent entre eux, mai</w:t>
      </w:r>
      <w:r>
        <w:t>s également dans les principes</w:t>
      </w:r>
      <w:r w:rsidR="008E6CDE">
        <w:t xml:space="preserve"> qui en régissent le fonctionnement. Les liens existants entre droit et fait sont couverts parce qu’il est convenu d’appeler la </w:t>
      </w:r>
      <w:r w:rsidR="008E6CDE" w:rsidRPr="003C3151">
        <w:rPr>
          <w:i/>
        </w:rPr>
        <w:t>loi de Hume</w:t>
      </w:r>
      <w:r w:rsidR="00083799" w:rsidRPr="00F177F5">
        <w:rPr>
          <w:rStyle w:val="Appelnotedebasdep"/>
        </w:rPr>
        <w:footnoteReference w:id="4"/>
      </w:r>
      <w:r w:rsidR="008E6CDE">
        <w:t xml:space="preserve">, en vertu de laquelle il n’est pas possible de tirer de conséquences prescriptives à partir de prémisses descriptives. Autrement dit, il n’est pas possible de déduire un « devoir être », le droit, à partir de ce qui </w:t>
      </w:r>
      <w:r w:rsidR="007D7EE9">
        <w:t>« </w:t>
      </w:r>
      <w:r w:rsidR="008E6CDE">
        <w:t>est</w:t>
      </w:r>
      <w:r w:rsidR="007D7EE9">
        <w:t> »</w:t>
      </w:r>
      <w:r w:rsidR="00300BB0">
        <w:t>,</w:t>
      </w:r>
      <w:r w:rsidR="007D7EE9">
        <w:t xml:space="preserve"> un fait</w:t>
      </w:r>
      <w:r w:rsidR="008E6CDE">
        <w:t xml:space="preserve">. Il n’est pas possible de déduire </w:t>
      </w:r>
      <w:r w:rsidR="004B7CB0">
        <w:t xml:space="preserve">à partir de l’observation </w:t>
      </w:r>
      <w:r w:rsidR="008E6CDE">
        <w:t xml:space="preserve">de comportements réels des normes. </w:t>
      </w:r>
      <w:r w:rsidR="00C64354">
        <w:t>Le constat sel</w:t>
      </w:r>
      <w:r w:rsidR="004B7CB0">
        <w:t>on lequel un groupe de CRS moleste</w:t>
      </w:r>
      <w:r w:rsidR="00C64354">
        <w:t xml:space="preserve"> au s</w:t>
      </w:r>
      <w:r w:rsidR="004B7CB0">
        <w:t xml:space="preserve">ol un manifestant désarmé ne </w:t>
      </w:r>
      <w:r w:rsidR="00C64354">
        <w:t>permet pas de déduire qu’il existe une norme autorisant ce comportement, ni même d’ailleurs qu’il existe une norme l’interdisant. Il n’y a donc pas de lien logique entre les faits et le droit. Cette dissociation est encore éclairée par les lois qui régissent chacun de ces domaines :</w:t>
      </w:r>
      <w:r w:rsidR="00394864">
        <w:t xml:space="preserve"> le droit, le domaine du « devoir être », est</w:t>
      </w:r>
      <w:r w:rsidR="006610AB">
        <w:t xml:space="preserve"> régi par le </w:t>
      </w:r>
      <w:r w:rsidR="006610AB" w:rsidRPr="00E36334">
        <w:rPr>
          <w:i/>
        </w:rPr>
        <w:t>principe d’imputation</w:t>
      </w:r>
      <w:r w:rsidR="006610AB">
        <w:t xml:space="preserve">, en vertu duquel si des conditions sont réunies alors quelque chose </w:t>
      </w:r>
      <w:r w:rsidR="006610AB" w:rsidRPr="006610AB">
        <w:rPr>
          <w:i/>
        </w:rPr>
        <w:t>doit advenir</w:t>
      </w:r>
      <w:r w:rsidR="006610AB">
        <w:t>, même si, peut-être, ce quelque chose n’adviendra jamais, simplement</w:t>
      </w:r>
      <w:r w:rsidR="007D7EE9">
        <w:t>,</w:t>
      </w:r>
      <w:r w:rsidR="006610AB">
        <w:t xml:space="preserve"> il doit advenir</w:t>
      </w:r>
      <w:r w:rsidR="00394864">
        <w:t> ; quand le domaine du fait</w:t>
      </w:r>
      <w:r w:rsidR="006610AB">
        <w:t>,</w:t>
      </w:r>
      <w:r w:rsidR="00394864">
        <w:t xml:space="preserve"> de l’être</w:t>
      </w:r>
      <w:r w:rsidR="006610AB">
        <w:t>,</w:t>
      </w:r>
      <w:r w:rsidR="00394864">
        <w:t xml:space="preserve"> est régi par le </w:t>
      </w:r>
      <w:r w:rsidR="00394864" w:rsidRPr="00E36334">
        <w:rPr>
          <w:i/>
        </w:rPr>
        <w:t>principe de causalité</w:t>
      </w:r>
      <w:r w:rsidR="00394864">
        <w:t>, propre aux sciences de la nature, en vertu duquel, si certaines conditions sont réuni</w:t>
      </w:r>
      <w:r w:rsidR="00BF49A7">
        <w:t>e</w:t>
      </w:r>
      <w:r w:rsidR="00394864">
        <w:t xml:space="preserve">s alors quelque chose </w:t>
      </w:r>
      <w:r w:rsidR="00394864" w:rsidRPr="006610AB">
        <w:rPr>
          <w:i/>
        </w:rPr>
        <w:t>advient</w:t>
      </w:r>
      <w:r w:rsidR="00394864">
        <w:t xml:space="preserve"> et advient nécessairement</w:t>
      </w:r>
      <w:r w:rsidR="00E36334">
        <w:rPr>
          <w:rStyle w:val="Appelnotedebasdep"/>
        </w:rPr>
        <w:footnoteReference w:id="5"/>
      </w:r>
      <w:r w:rsidR="00394864">
        <w:t xml:space="preserve">. </w:t>
      </w:r>
      <w:r w:rsidR="008A4EF7">
        <w:t xml:space="preserve">Si celui qui ôte la vie à </w:t>
      </w:r>
      <w:r w:rsidR="006610AB">
        <w:t xml:space="preserve">son prochain </w:t>
      </w:r>
      <w:r w:rsidR="006610AB" w:rsidRPr="008A4EF7">
        <w:rPr>
          <w:i/>
        </w:rPr>
        <w:t>doit</w:t>
      </w:r>
      <w:r w:rsidR="008A4EF7">
        <w:t>, dans la plupart des systèmes juridiques,</w:t>
      </w:r>
      <w:r w:rsidR="006610AB">
        <w:t xml:space="preserve"> </w:t>
      </w:r>
      <w:r w:rsidR="006610AB" w:rsidRPr="008A4EF7">
        <w:rPr>
          <w:i/>
        </w:rPr>
        <w:t xml:space="preserve">être </w:t>
      </w:r>
      <w:r w:rsidR="006610AB">
        <w:t xml:space="preserve">puni, </w:t>
      </w:r>
      <w:r w:rsidR="008A4EF7">
        <w:t xml:space="preserve">sans qu’il n'y ait aucune certitude sur le fait qu’il soit </w:t>
      </w:r>
      <w:r w:rsidR="008A4EF7" w:rsidRPr="008A4EF7">
        <w:rPr>
          <w:i/>
        </w:rPr>
        <w:t>effectivement</w:t>
      </w:r>
      <w:r w:rsidR="008A4EF7">
        <w:t xml:space="preserve"> puni ;</w:t>
      </w:r>
      <w:r w:rsidR="006610AB">
        <w:t xml:space="preserve"> </w:t>
      </w:r>
      <w:r w:rsidR="008A4EF7">
        <w:t xml:space="preserve">en </w:t>
      </w:r>
      <w:r w:rsidR="008A4EF7">
        <w:lastRenderedPageBreak/>
        <w:t xml:space="preserve">revanche, </w:t>
      </w:r>
      <w:r w:rsidR="006610AB">
        <w:t>il est certain, qu’au niveau de la mer, lorsque l’on porte la température de l’eau à 100 degré</w:t>
      </w:r>
      <w:r w:rsidR="008A4EF7">
        <w:t>,</w:t>
      </w:r>
      <w:r w:rsidR="006610AB">
        <w:t xml:space="preserve"> elle bout. Dans le premier cas quelque chose </w:t>
      </w:r>
      <w:r w:rsidR="006610AB" w:rsidRPr="008A4EF7">
        <w:rPr>
          <w:i/>
        </w:rPr>
        <w:t>doit advenir</w:t>
      </w:r>
      <w:r w:rsidR="006610AB">
        <w:t xml:space="preserve"> ; dans le second, il </w:t>
      </w:r>
      <w:r w:rsidR="006610AB" w:rsidRPr="008A4EF7">
        <w:rPr>
          <w:i/>
        </w:rPr>
        <w:t>advient</w:t>
      </w:r>
      <w:r w:rsidR="006610AB">
        <w:t>.</w:t>
      </w:r>
    </w:p>
    <w:p w:rsidR="00BE7EEE" w:rsidRDefault="00BE7EEE"/>
    <w:p w:rsidR="006610AB" w:rsidRDefault="006610AB">
      <w:r>
        <w:t xml:space="preserve">Il découle enfin du premier constat, </w:t>
      </w:r>
      <w:r w:rsidRPr="004B7CB0">
        <w:rPr>
          <w:i/>
        </w:rPr>
        <w:t>le droit décrit une réalité</w:t>
      </w:r>
      <w:r>
        <w:t xml:space="preserve">, malgré le second, </w:t>
      </w:r>
      <w:r w:rsidRPr="004B7CB0">
        <w:rPr>
          <w:i/>
        </w:rPr>
        <w:t>l’on ne peut identifier le droit à partir de faits</w:t>
      </w:r>
      <w:r>
        <w:t xml:space="preserve">, </w:t>
      </w:r>
      <w:r w:rsidR="00864E76">
        <w:t>qu’il doit exister un lien minimum entre le droit et le fait. Plus précisément, l’identification du droit ne saurait se faire sans aucune référence au réel. Ce lien entre fait et droit, ce lien minimum, est établi par la condition de l’efficacité globale d’un ordre normatif. Un ordre normatif ne saurait être un ordre juridique, toutes conditions étant égales par ailleurs, que s’il est global</w:t>
      </w:r>
      <w:r w:rsidR="004B7CB0">
        <w:t>ement efficace, c’est-à-dire si</w:t>
      </w:r>
      <w:r w:rsidR="00864E76">
        <w:t xml:space="preserve"> les normes qu’il contient sont plutôt respectées que non respectées. L’efficacité globale des normes du système conditionne l’existence du droit. Le réel, le respect effectif des normes</w:t>
      </w:r>
      <w:r w:rsidR="004B7CB0">
        <w:t>,</w:t>
      </w:r>
      <w:r w:rsidR="00864E76">
        <w:t xml:space="preserve"> conditionne la reconnaissance d’un ordre juridique.</w:t>
      </w:r>
    </w:p>
    <w:p w:rsidR="006610AB" w:rsidRDefault="006610AB"/>
    <w:p w:rsidR="008A4EF7" w:rsidRDefault="0082250F">
      <w:r>
        <w:t xml:space="preserve">Ces questions réglées, il convient d’expliciter ce qu’il faut entendre par « habitude ». Le terme renvoie au latin </w:t>
      </w:r>
      <w:proofErr w:type="spellStart"/>
      <w:r w:rsidRPr="0082250F">
        <w:rPr>
          <w:i/>
        </w:rPr>
        <w:t>habitudo</w:t>
      </w:r>
      <w:proofErr w:type="spellEnd"/>
      <w:r>
        <w:t xml:space="preserve">, coutume, et </w:t>
      </w:r>
      <w:r w:rsidRPr="0082250F">
        <w:rPr>
          <w:i/>
        </w:rPr>
        <w:t>habitus</w:t>
      </w:r>
      <w:r w:rsidR="008A4EF7">
        <w:t>, manière d’être. Dans le</w:t>
      </w:r>
      <w:r>
        <w:t xml:space="preserve"> langage courant</w:t>
      </w:r>
      <w:r w:rsidR="00300BB0">
        <w:t>,</w:t>
      </w:r>
      <w:r>
        <w:t xml:space="preserve"> l’habitude est une « m</w:t>
      </w:r>
      <w:r w:rsidRPr="004B7EA8">
        <w:t>anière ordinaire, habituelle d'agir, de penser, de sentir, propre à quelqu'un ou à un groupe de personnes</w:t>
      </w:r>
      <w:r>
        <w:t> » ; une « m</w:t>
      </w:r>
      <w:r w:rsidRPr="0082250F">
        <w:t>anière de faire, comportement</w:t>
      </w:r>
      <w:r w:rsidR="002873AC">
        <w:t>s</w:t>
      </w:r>
      <w:r w:rsidRPr="0082250F">
        <w:t xml:space="preserve"> créés chez quelqu'un par une action répétée</w:t>
      </w:r>
      <w:r>
        <w:t> »</w:t>
      </w:r>
      <w:r>
        <w:rPr>
          <w:rStyle w:val="Appelnotedebasdep"/>
        </w:rPr>
        <w:footnoteReference w:id="6"/>
      </w:r>
      <w:r>
        <w:t> ; une « f</w:t>
      </w:r>
      <w:r w:rsidRPr="0082250F">
        <w:t>açon permanente, fréquente, régulière ou attendue, d'agir, de sentir ou de se comporter, acquise volontairement ou non</w:t>
      </w:r>
      <w:r>
        <w:t> »</w:t>
      </w:r>
      <w:r>
        <w:rPr>
          <w:rStyle w:val="Appelnotedebasdep"/>
        </w:rPr>
        <w:footnoteReference w:id="7"/>
      </w:r>
      <w:r>
        <w:t>.</w:t>
      </w:r>
      <w:r w:rsidR="00034FAB">
        <w:t xml:space="preserve"> L’ha</w:t>
      </w:r>
      <w:r w:rsidR="004B7CB0">
        <w:t>bitude est donc un comportement qui relève du domaine du fait</w:t>
      </w:r>
      <w:r w:rsidR="00034FAB">
        <w:t xml:space="preserve"> </w:t>
      </w:r>
      <w:r w:rsidR="00F96C0C">
        <w:t xml:space="preserve">et qui ne saurait donc, de </w:t>
      </w:r>
      <w:r w:rsidR="004B7CB0">
        <w:t>manière autonome, être confondu</w:t>
      </w:r>
      <w:r w:rsidR="00F96C0C">
        <w:t xml:space="preserve"> </w:t>
      </w:r>
      <w:r w:rsidR="00201907">
        <w:t xml:space="preserve">avec le droit. </w:t>
      </w:r>
    </w:p>
    <w:p w:rsidR="008A4EF7" w:rsidRDefault="008A4EF7"/>
    <w:p w:rsidR="0082250F" w:rsidRDefault="005C3A4B">
      <w:r>
        <w:t>C’est en tant que comportement de fait qu</w:t>
      </w:r>
      <w:r w:rsidR="004B7CB0">
        <w:t>e l’habitude sera étudiée dans s</w:t>
      </w:r>
      <w:r>
        <w:t xml:space="preserve">es rapports avec le droit. </w:t>
      </w:r>
    </w:p>
    <w:p w:rsidR="0082250F" w:rsidRDefault="0082250F"/>
    <w:p w:rsidR="001B4AF5" w:rsidRDefault="007D7EE9">
      <w:r>
        <w:t>L</w:t>
      </w:r>
      <w:r w:rsidR="005D73A1">
        <w:t>es rapports entre droit et habitude sont susceptibles d’être appréhendés sous deux angles différents, selon le point de vue du droit</w:t>
      </w:r>
      <w:r w:rsidR="00FB5063">
        <w:t>,</w:t>
      </w:r>
      <w:r w:rsidR="005D73A1">
        <w:t xml:space="preserve"> et donc</w:t>
      </w:r>
      <w:r w:rsidR="00FB5063">
        <w:t>,</w:t>
      </w:r>
      <w:r w:rsidR="005D73A1">
        <w:t xml:space="preserve"> du </w:t>
      </w:r>
      <w:r w:rsidR="005D73A1" w:rsidRPr="00FB5063">
        <w:rPr>
          <w:i/>
        </w:rPr>
        <w:t>devoir être</w:t>
      </w:r>
      <w:r w:rsidR="005D73A1">
        <w:t xml:space="preserve"> ou selon le point de vue de l’habitude</w:t>
      </w:r>
      <w:r w:rsidR="00FB5063">
        <w:t>,</w:t>
      </w:r>
      <w:r w:rsidR="005D73A1">
        <w:t xml:space="preserve"> et donc</w:t>
      </w:r>
      <w:r w:rsidR="00FB5063">
        <w:t>,</w:t>
      </w:r>
      <w:r w:rsidR="005D73A1">
        <w:t xml:space="preserve"> du </w:t>
      </w:r>
      <w:r w:rsidR="005D73A1" w:rsidRPr="00FB5063">
        <w:rPr>
          <w:i/>
        </w:rPr>
        <w:t>fait</w:t>
      </w:r>
      <w:r w:rsidR="005D73A1">
        <w:t>. Il s’agira de dresser une classification des différents rapports possibles entre ces deux éléments à partir de chacun de</w:t>
      </w:r>
      <w:r>
        <w:t xml:space="preserve"> ce</w:t>
      </w:r>
      <w:r w:rsidR="005D73A1">
        <w:t>s deux points de vue. Cette classification se veut exhaustive de toutes les situations possibles</w:t>
      </w:r>
      <w:r>
        <w:t>,</w:t>
      </w:r>
      <w:r w:rsidR="005D73A1">
        <w:t xml:space="preserve"> qu’</w:t>
      </w:r>
      <w:r w:rsidR="001E7C5D">
        <w:t>elles existent ou qu’elles n’existent pas en réalité.</w:t>
      </w:r>
      <w:r w:rsidR="004B7CB0">
        <w:t xml:space="preserve"> Elle s’inscrit dans une démar</w:t>
      </w:r>
      <w:r w:rsidR="00FB5063">
        <w:t>che théorique, consistant en une modélisation générale, indépendante du droit positif ou de situations concrètes. Elle ne manquera toutefois pas d’être nourrie par des illustrations issues des différentes interventions qui se succéderons</w:t>
      </w:r>
      <w:r w:rsidR="0072598B">
        <w:t xml:space="preserve"> dans cet ouvrage</w:t>
      </w:r>
      <w:r w:rsidR="00230E3F">
        <w:t>. Nous n’en use</w:t>
      </w:r>
      <w:r w:rsidR="00FB5063">
        <w:t>rons pas moins</w:t>
      </w:r>
      <w:r w:rsidR="00230E3F">
        <w:t>,</w:t>
      </w:r>
      <w:r w:rsidR="00FB5063">
        <w:t xml:space="preserve"> </w:t>
      </w:r>
      <w:r w:rsidR="00230E3F">
        <w:t xml:space="preserve">dans </w:t>
      </w:r>
      <w:r w:rsidR="00FB5063">
        <w:t>notre propos</w:t>
      </w:r>
      <w:r w:rsidR="00230E3F">
        <w:t>,</w:t>
      </w:r>
      <w:r w:rsidR="00FB5063">
        <w:t xml:space="preserve"> d’un exemple, fictif, un seul, que l’on supposera être une habitude, et non pas une norme juridique : le plan en deux parties des juristes.</w:t>
      </w:r>
    </w:p>
    <w:p w:rsidR="002873AC" w:rsidRDefault="002873AC"/>
    <w:p w:rsidR="00FB5063" w:rsidRDefault="00FB5063">
      <w:r>
        <w:t xml:space="preserve">Du point de vue de la norme, celle-ci et, plus largement, </w:t>
      </w:r>
      <w:r w:rsidRPr="00230E3F">
        <w:rPr>
          <w:i/>
        </w:rPr>
        <w:t>le droit</w:t>
      </w:r>
      <w:r w:rsidR="006431A0" w:rsidRPr="00230E3F">
        <w:t>,</w:t>
      </w:r>
      <w:r w:rsidR="006431A0" w:rsidRPr="00230E3F">
        <w:rPr>
          <w:i/>
        </w:rPr>
        <w:t xml:space="preserve"> face l’habitude</w:t>
      </w:r>
      <w:r w:rsidR="006431A0">
        <w:t>,</w:t>
      </w:r>
      <w:r>
        <w:t xml:space="preserve"> est susceptible </w:t>
      </w:r>
      <w:r w:rsidR="009D6FB5">
        <w:t xml:space="preserve">de </w:t>
      </w:r>
      <w:r w:rsidR="006431A0">
        <w:t>la saisir</w:t>
      </w:r>
      <w:r w:rsidR="0072598B">
        <w:t>,</w:t>
      </w:r>
      <w:r w:rsidR="006431A0">
        <w:t xml:space="preserve"> comme tout </w:t>
      </w:r>
      <w:r w:rsidR="009D6FB5">
        <w:t>fait (</w:t>
      </w:r>
      <w:r w:rsidR="006431A0">
        <w:t xml:space="preserve">§ I). Du point de vue de </w:t>
      </w:r>
      <w:r w:rsidR="006431A0" w:rsidRPr="00230E3F">
        <w:rPr>
          <w:i/>
        </w:rPr>
        <w:t>l’habitude</w:t>
      </w:r>
      <w:r w:rsidR="006431A0">
        <w:t xml:space="preserve">, </w:t>
      </w:r>
      <w:r w:rsidR="006431A0" w:rsidRPr="00230E3F">
        <w:rPr>
          <w:i/>
        </w:rPr>
        <w:t>face au droit</w:t>
      </w:r>
      <w:r w:rsidR="006431A0">
        <w:t>, elle est susceptible d’entretenir plusieurs rapports avec le droit (§ II).</w:t>
      </w:r>
    </w:p>
    <w:p w:rsidR="00F177F5" w:rsidRDefault="00F177F5"/>
    <w:p w:rsidR="00F177F5" w:rsidRDefault="00F177F5">
      <w:r>
        <w:lastRenderedPageBreak/>
        <w:t xml:space="preserve">Sous ces deux angles, il est encore important de mettre en évidence un élément susceptible d’avoir une incidence sur les rapports entretenus entre l’habitude et le droit. L’on pourrait parler d’un </w:t>
      </w:r>
      <w:r w:rsidRPr="005C3A4B">
        <w:rPr>
          <w:i/>
        </w:rPr>
        <w:t>seuil de visibilité</w:t>
      </w:r>
      <w:r>
        <w:t xml:space="preserve"> de l’habitude. Le droit est susceptible de réagir face à une habitude ou, à l’inverse, l’habitude </w:t>
      </w:r>
      <w:r w:rsidR="00F92B8C">
        <w:t xml:space="preserve">peut </w:t>
      </w:r>
      <w:r>
        <w:t xml:space="preserve">influer </w:t>
      </w:r>
      <w:r w:rsidR="00F92B8C">
        <w:t xml:space="preserve">sur </w:t>
      </w:r>
      <w:r>
        <w:t>le droit que si cette habitude revêt une certaine ampleur. Cette dimension n’est pas seulement quantitative, à savoir le nombre de personnes concernées par l’habitude, mais aussi qualitative, le domaine plus ou moins sensible de la vie sociale couvert par l’habitude, les deux dimensions étant, à l’évidence, mêlées. Il n’en reste pas moins que le seuil est difficile à mesurer. L’on comprendra cependant aisément que</w:t>
      </w:r>
      <w:r w:rsidR="00F92B8C">
        <w:t>,</w:t>
      </w:r>
      <w:r>
        <w:t xml:space="preserve"> dans le domaine de la santé, par exemple, les rapports et les tensions potentiels entre droit et habitude ne sont pas de la même ampleur, selon qu’il s’agisse de gérer l’usage de drogues</w:t>
      </w:r>
      <w:r>
        <w:rPr>
          <w:rStyle w:val="Appelnotedebasdep"/>
        </w:rPr>
        <w:footnoteReference w:id="8"/>
      </w:r>
      <w:r>
        <w:t xml:space="preserve"> légales dangereuses pour la santé ou de gérer des drogues illéga</w:t>
      </w:r>
      <w:r w:rsidR="007D7EE9">
        <w:t>les plus ou moins dangereuses pour</w:t>
      </w:r>
      <w:r>
        <w:t xml:space="preserve"> la santé et dont l’usage peut être, malgré l’illégalité, banalisé. Les habitudes ne sauraient être gérées de la même manière selon le type d</w:t>
      </w:r>
      <w:r w:rsidR="007D7EE9">
        <w:t>e drogue, légale ou illégale,</w:t>
      </w:r>
      <w:r>
        <w:t xml:space="preserve"> le nombre d’usagers de ces drogues et la </w:t>
      </w:r>
      <w:r w:rsidR="00F92B8C">
        <w:t xml:space="preserve">perception des drogues comme </w:t>
      </w:r>
      <w:r w:rsidR="004B7CB0">
        <w:t xml:space="preserve">celle de </w:t>
      </w:r>
      <w:r>
        <w:t xml:space="preserve">leur usage par </w:t>
      </w:r>
      <w:r w:rsidR="00230E3F">
        <w:t xml:space="preserve">les membres de </w:t>
      </w:r>
      <w:r>
        <w:t>la société.</w:t>
      </w:r>
    </w:p>
    <w:p w:rsidR="00E30DC4" w:rsidRDefault="00E30DC4"/>
    <w:p w:rsidR="00AC78D8" w:rsidRPr="00CF58BB" w:rsidRDefault="00AC78D8">
      <w:pPr>
        <w:rPr>
          <w:rFonts w:ascii="Arial" w:hAnsi="Arial" w:cs="Arial"/>
        </w:rPr>
      </w:pPr>
      <w:r w:rsidRPr="00CF58BB">
        <w:rPr>
          <w:rFonts w:ascii="Arial" w:hAnsi="Arial" w:cs="Arial"/>
        </w:rPr>
        <w:t xml:space="preserve">§ I - Le droit face à l’habitude : </w:t>
      </w:r>
      <w:r w:rsidR="007D5040" w:rsidRPr="00CF58BB">
        <w:rPr>
          <w:rFonts w:ascii="Arial" w:hAnsi="Arial" w:cs="Arial"/>
        </w:rPr>
        <w:t>le droit saisit le fait</w:t>
      </w:r>
    </w:p>
    <w:p w:rsidR="00AC78D8" w:rsidRDefault="00AC78D8"/>
    <w:p w:rsidR="006431A0" w:rsidRDefault="006431A0">
      <w:r>
        <w:t xml:space="preserve">L’appréhension par le droit de l’habitude </w:t>
      </w:r>
      <w:r w:rsidR="00305B00">
        <w:t xml:space="preserve">renvoie aux énoncés déontiques susceptibles d’être contenus dans </w:t>
      </w:r>
      <w:r w:rsidR="0096132F">
        <w:t xml:space="preserve">un énoncé prescriptif dont la signification constitue </w:t>
      </w:r>
      <w:r w:rsidR="00305B00">
        <w:t>une norme. Quatre situations sont donc potentiellement envisageables lorsque le droit saisi un comportement</w:t>
      </w:r>
      <w:r w:rsidR="0072598B">
        <w:t>, un fait,</w:t>
      </w:r>
      <w:r w:rsidR="00305B00">
        <w:t xml:space="preserve"> et, pour ce qui nous intéresse ici, l’habitude : la permission, l’interdict</w:t>
      </w:r>
      <w:r w:rsidR="00230E3F">
        <w:t>ion, le caractère obligatoire ou</w:t>
      </w:r>
      <w:r w:rsidR="00305B00">
        <w:t xml:space="preserve"> l’habilitation. Ces quatre situations peuvent être regroupées selon qu’elle</w:t>
      </w:r>
      <w:r w:rsidR="00071A4B">
        <w:t>s</w:t>
      </w:r>
      <w:r w:rsidR="00305B00">
        <w:t xml:space="preserve"> constitue</w:t>
      </w:r>
      <w:r w:rsidR="00071A4B">
        <w:t>nt</w:t>
      </w:r>
      <w:r w:rsidR="00305B00">
        <w:t xml:space="preserve"> une </w:t>
      </w:r>
      <w:r w:rsidR="00305B00" w:rsidRPr="00071A4B">
        <w:rPr>
          <w:i/>
        </w:rPr>
        <w:t>option radicale</w:t>
      </w:r>
      <w:r w:rsidR="00305B00">
        <w:t xml:space="preserve"> (interdire ou rendre obligatoire) ou une </w:t>
      </w:r>
      <w:r w:rsidR="00305B00" w:rsidRPr="00071A4B">
        <w:rPr>
          <w:i/>
        </w:rPr>
        <w:t>option souple</w:t>
      </w:r>
      <w:r w:rsidR="00305B00">
        <w:t xml:space="preserve"> (permettre ou habiliter).</w:t>
      </w:r>
      <w:r w:rsidR="00230E3F">
        <w:t xml:space="preserve"> Qu’il nous soit d’ailleurs permis ici d’évoquer, brièvement</w:t>
      </w:r>
      <w:r w:rsidR="007D7EE9">
        <w:t>, pour acter un</w:t>
      </w:r>
      <w:r w:rsidR="00230E3F">
        <w:t xml:space="preserve"> projet scientifique</w:t>
      </w:r>
      <w:r w:rsidR="007D7EE9">
        <w:t xml:space="preserve"> personnel en cours</w:t>
      </w:r>
      <w:r w:rsidR="00230E3F">
        <w:t>, qu’il nous semble possible de formuler tous les concepts mobilisés p</w:t>
      </w:r>
      <w:r w:rsidR="004B7CB0">
        <w:t>ar les juristes par l’usage ou l</w:t>
      </w:r>
      <w:r w:rsidR="00937871">
        <w:t>e renvoi</w:t>
      </w:r>
      <w:r w:rsidR="00230E3F">
        <w:t xml:space="preserve"> aux critères de d</w:t>
      </w:r>
      <w:r w:rsidR="004B7CB0">
        <w:t xml:space="preserve">éfinition de la norme juridique, et, en particulier, en énonçant ces concepts à partir des énoncés déontiques, </w:t>
      </w:r>
      <w:r w:rsidR="00230E3F">
        <w:t xml:space="preserve">ou </w:t>
      </w:r>
      <w:r w:rsidR="007D7EE9">
        <w:t xml:space="preserve">par </w:t>
      </w:r>
      <w:r w:rsidR="00230E3F">
        <w:t>des renvois à la norme juridique</w:t>
      </w:r>
      <w:r w:rsidR="00071A4B">
        <w:t xml:space="preserve"> ou à l’ordre juridique</w:t>
      </w:r>
      <w:r w:rsidR="00071A4B">
        <w:rPr>
          <w:rStyle w:val="Appelnotedebasdep"/>
        </w:rPr>
        <w:footnoteReference w:id="9"/>
      </w:r>
      <w:r w:rsidR="00230E3F">
        <w:t>.</w:t>
      </w:r>
    </w:p>
    <w:p w:rsidR="00305B00" w:rsidRDefault="00305B00"/>
    <w:p w:rsidR="00305B00" w:rsidRDefault="00305B00">
      <w:r w:rsidRPr="00071A4B">
        <w:t>L’</w:t>
      </w:r>
      <w:r w:rsidRPr="00071A4B">
        <w:rPr>
          <w:i/>
        </w:rPr>
        <w:t>option radicale</w:t>
      </w:r>
      <w:r>
        <w:t>, interdire ou rendre obligatoire</w:t>
      </w:r>
      <w:r w:rsidR="007D7EE9">
        <w:t>,</w:t>
      </w:r>
      <w:r>
        <w:t xml:space="preserve"> pourrait être discutée en tant qu’option offrant une alternative. En effet, toute interdiction peut être formulée en </w:t>
      </w:r>
      <w:r w:rsidR="0096132F">
        <w:t>une obligation et réciproquem</w:t>
      </w:r>
      <w:r w:rsidR="007D7EE9">
        <w:t>ent. La norme tirée de l’énoncé -</w:t>
      </w:r>
      <w:r w:rsidR="0096132F">
        <w:t xml:space="preserve"> la norme étant l</w:t>
      </w:r>
      <w:r w:rsidR="007D7EE9">
        <w:t>a signification d’un énoncé -</w:t>
      </w:r>
      <w:r w:rsidR="00071A4B">
        <w:t xml:space="preserve"> « </w:t>
      </w:r>
      <w:r w:rsidR="00071A4B" w:rsidRPr="00071A4B">
        <w:rPr>
          <w:i/>
        </w:rPr>
        <w:t>i</w:t>
      </w:r>
      <w:r w:rsidR="0096132F" w:rsidRPr="00071A4B">
        <w:rPr>
          <w:i/>
        </w:rPr>
        <w:t>l est obligatoire de s’arrêter au feu rouge </w:t>
      </w:r>
      <w:r w:rsidR="0096132F">
        <w:t>», énoncé posant une obligation, peut être également formulée par un énoncé posant une interdiction du type</w:t>
      </w:r>
      <w:r w:rsidR="00071A4B">
        <w:t xml:space="preserve"> : </w:t>
      </w:r>
      <w:r w:rsidR="0096132F">
        <w:t>« </w:t>
      </w:r>
      <w:r w:rsidR="00937871">
        <w:rPr>
          <w:i/>
        </w:rPr>
        <w:t>il est interdit de circul</w:t>
      </w:r>
      <w:r w:rsidR="0096132F" w:rsidRPr="00071A4B">
        <w:rPr>
          <w:i/>
        </w:rPr>
        <w:t>er au feu rouge</w:t>
      </w:r>
      <w:r w:rsidR="0096132F">
        <w:t> ». Il n’en reste pas moins que</w:t>
      </w:r>
      <w:r w:rsidR="007D7EE9">
        <w:t>,</w:t>
      </w:r>
      <w:r w:rsidR="0096132F">
        <w:t xml:space="preserve"> d’un point plus symbolique, la formulation des normes sous la forme d’énoncé</w:t>
      </w:r>
      <w:r w:rsidR="004B7CB0">
        <w:t>s</w:t>
      </w:r>
      <w:r w:rsidR="0096132F">
        <w:t xml:space="preserve"> d’interdiction ou de caractère obligatoire traduit des intentions cachées d’inspiration différente soit qu’il s’agisse d’écarter un </w:t>
      </w:r>
      <w:r w:rsidR="0096132F">
        <w:lastRenderedPageBreak/>
        <w:t>comportement po</w:t>
      </w:r>
      <w:r w:rsidR="00071A4B">
        <w:t>ssible, soit qu’il s’agisse d’en</w:t>
      </w:r>
      <w:r w:rsidR="0096132F">
        <w:t xml:space="preserve"> imposer un. Le ressort psychologique n’est pas le même</w:t>
      </w:r>
      <w:r w:rsidR="00071A4B">
        <w:t>,</w:t>
      </w:r>
      <w:r w:rsidR="0096132F">
        <w:t xml:space="preserve"> tant du côté de l’auteur de la norme</w:t>
      </w:r>
      <w:r w:rsidR="00071A4B">
        <w:t>,</w:t>
      </w:r>
      <w:r w:rsidR="0096132F">
        <w:t xml:space="preserve"> que de celui qui en est le destin</w:t>
      </w:r>
      <w:r w:rsidR="0033248B">
        <w:t>a</w:t>
      </w:r>
      <w:r w:rsidR="0096132F">
        <w:t>taire.</w:t>
      </w:r>
    </w:p>
    <w:p w:rsidR="003D3EF2" w:rsidRDefault="003D3EF2"/>
    <w:p w:rsidR="003D3EF2" w:rsidRDefault="007D7EE9">
      <w:r>
        <w:t>A partir de l’exemple retenu</w:t>
      </w:r>
      <w:r w:rsidR="003D3EF2">
        <w:t>, il est possible de formuler une norme d’interdiction de la manière suivante : « </w:t>
      </w:r>
      <w:r w:rsidR="003D3EF2" w:rsidRPr="00071A4B">
        <w:rPr>
          <w:i/>
        </w:rPr>
        <w:t>il est interdit de présenter un plan en plus de deux parties</w:t>
      </w:r>
      <w:r w:rsidR="003D3EF2">
        <w:t> » (et qu’il nous soit permis de supposer</w:t>
      </w:r>
      <w:r w:rsidR="00071A4B">
        <w:t>, pour que cette formulation soit valable,</w:t>
      </w:r>
      <w:r w:rsidR="003D3EF2">
        <w:t xml:space="preserve"> qu’en dessous de deux parties, l’on ne saurait considérer qu’</w:t>
      </w:r>
      <w:r w:rsidR="00590BEF">
        <w:t xml:space="preserve">il existe un </w:t>
      </w:r>
      <w:r w:rsidR="00071A4B">
        <w:t>« </w:t>
      </w:r>
      <w:r w:rsidR="00590BEF">
        <w:t>plan</w:t>
      </w:r>
      <w:r w:rsidR="00071A4B">
        <w:t> »</w:t>
      </w:r>
      <w:r w:rsidR="00590BEF">
        <w:t>) ; sous l’angle du caractère obligatoire, l’énoncé pourrait être le suivant « </w:t>
      </w:r>
      <w:r w:rsidR="00590BEF" w:rsidRPr="003A659F">
        <w:rPr>
          <w:i/>
        </w:rPr>
        <w:t>il est obligatoire de présenter un plan en deux parties</w:t>
      </w:r>
      <w:r w:rsidR="00590BEF">
        <w:t> ».</w:t>
      </w:r>
    </w:p>
    <w:p w:rsidR="00590BEF" w:rsidRDefault="00590BEF"/>
    <w:p w:rsidR="00590BEF" w:rsidRDefault="00590BEF">
      <w:r>
        <w:t>A côté de cette option radicale, et sans doute peu libérale</w:t>
      </w:r>
      <w:r w:rsidR="00937871">
        <w:t xml:space="preserve"> </w:t>
      </w:r>
      <w:r>
        <w:t xml:space="preserve">sous l’angle des libertés universitaires, il est possible de retenir une </w:t>
      </w:r>
      <w:r w:rsidRPr="003A659F">
        <w:rPr>
          <w:i/>
        </w:rPr>
        <w:t>option souple</w:t>
      </w:r>
      <w:r w:rsidRPr="003A659F">
        <w:t>,</w:t>
      </w:r>
      <w:r>
        <w:t xml:space="preserve"> sous la forme d’une habilitation ou d’une permission. Cette dernière est sans doute la situation la plus simple. Il serait ainsi possible de retenir l’énoncé suivant : « </w:t>
      </w:r>
      <w:r w:rsidRPr="003A659F">
        <w:rPr>
          <w:i/>
        </w:rPr>
        <w:t>il est permis de présenter un plan en deux parties</w:t>
      </w:r>
      <w:r>
        <w:t> ». La liberté d’action est</w:t>
      </w:r>
      <w:r w:rsidR="004B7CB0">
        <w:t xml:space="preserve"> alors couverte par une norme. L</w:t>
      </w:r>
      <w:r>
        <w:t>a question susceptible de se poser ensuite est celle de savoir dans quelle mesure le bénéficiaire de la norme pourra revendiqu</w:t>
      </w:r>
      <w:r w:rsidR="005537C6">
        <w:t>er le respect de cette norme de la part de ceux qu’elle oblige et, le cas échéant</w:t>
      </w:r>
      <w:r w:rsidR="003A659F">
        <w:t xml:space="preserve">, </w:t>
      </w:r>
      <w:r w:rsidR="005537C6">
        <w:t>obtenir une éventuelle sanction en cas de méconnaissance de cette norme</w:t>
      </w:r>
      <w:r w:rsidR="004B7CB0">
        <w:t xml:space="preserve"> par ceux-ci</w:t>
      </w:r>
      <w:r w:rsidR="005537C6">
        <w:t>.</w:t>
      </w:r>
      <w:r w:rsidR="003A659F">
        <w:t xml:space="preserve"> Il reste que la formulation sous la forme d’une permission est une autorisation d’adopter un certain com</w:t>
      </w:r>
      <w:r w:rsidR="00506C79">
        <w:t>portement matériel posée par la</w:t>
      </w:r>
      <w:r w:rsidR="003A659F">
        <w:t xml:space="preserve"> norme.</w:t>
      </w:r>
    </w:p>
    <w:p w:rsidR="005537C6" w:rsidRDefault="005537C6"/>
    <w:p w:rsidR="0072598B" w:rsidRDefault="005537C6">
      <w:r>
        <w:t xml:space="preserve">L’habilitation recouvre une situation plus complexe, en particulier parce qu’elle recouvre en partie la situation précédente, même si elle ne saurait être confondue avec elle. </w:t>
      </w:r>
      <w:r w:rsidR="003A659F">
        <w:t>Avec notre exemple, e</w:t>
      </w:r>
      <w:r w:rsidR="0072598B">
        <w:t>l</w:t>
      </w:r>
      <w:r w:rsidR="003A659F">
        <w:t>le peut elle-même se décomposer</w:t>
      </w:r>
      <w:r w:rsidR="0072598B">
        <w:t xml:space="preserve"> en deux sous situations. L’habitude sera considérée comme une norme, sur habilitation d’une autre norme, soit de manière générale, soit de manière ponctuelle. </w:t>
      </w:r>
      <w:r w:rsidR="003A659F">
        <w:t>Dans les deux cas, l</w:t>
      </w:r>
      <w:r w:rsidR="00506C79">
        <w:t>’exercice de l</w:t>
      </w:r>
      <w:r w:rsidR="0072598B">
        <w:t>a permission d’agir accordée à un groupe de personnes est ainsi constitutive d’une norme juridique. Le comportement adopté dans le cadre de la permission</w:t>
      </w:r>
      <w:r w:rsidR="003A659F">
        <w:t>, « </w:t>
      </w:r>
      <w:r w:rsidR="003A659F" w:rsidRPr="003A659F">
        <w:rPr>
          <w:i/>
        </w:rPr>
        <w:t>il est permis de présenter un plan en deux parties</w:t>
      </w:r>
      <w:r w:rsidR="003A659F">
        <w:t> »,</w:t>
      </w:r>
      <w:r w:rsidR="0072598B">
        <w:t xml:space="preserve"> se traduit seulement p</w:t>
      </w:r>
      <w:r w:rsidR="00506C79">
        <w:t>ar un agissement matériel</w:t>
      </w:r>
      <w:r w:rsidR="0072598B">
        <w:t> ; il est constitutif d’une norme dans le cadre de l’habilitation. L’habilitation générale pourrait être formulée de la manière suivante : « </w:t>
      </w:r>
      <w:r w:rsidR="0072598B" w:rsidRPr="003A659F">
        <w:rPr>
          <w:i/>
        </w:rPr>
        <w:t xml:space="preserve">les juristes </w:t>
      </w:r>
      <w:r w:rsidR="001C4E38" w:rsidRPr="003A659F">
        <w:rPr>
          <w:i/>
        </w:rPr>
        <w:t>agissent en fonction de leurs usages</w:t>
      </w:r>
      <w:r w:rsidR="003A659F">
        <w:t> »</w:t>
      </w:r>
      <w:r w:rsidR="00506C79">
        <w:t>,</w:t>
      </w:r>
      <w:r w:rsidR="00CD35BF">
        <w:t xml:space="preserve"> les termes d</w:t>
      </w:r>
      <w:proofErr w:type="gramStart"/>
      <w:r w:rsidR="00CD35BF">
        <w:t>’«</w:t>
      </w:r>
      <w:proofErr w:type="gramEnd"/>
      <w:r w:rsidR="00CD35BF">
        <w:t> usage » et d’« habitude » é</w:t>
      </w:r>
      <w:r w:rsidR="00506C79">
        <w:t>t</w:t>
      </w:r>
      <w:r w:rsidR="00CD35BF">
        <w:t>ant utilisés</w:t>
      </w:r>
      <w:r w:rsidR="00506C79">
        <w:t xml:space="preserve"> </w:t>
      </w:r>
      <w:r w:rsidR="00CD35BF">
        <w:t>en ta</w:t>
      </w:r>
      <w:r w:rsidR="00506C79">
        <w:t xml:space="preserve">nt </w:t>
      </w:r>
      <w:r w:rsidR="00CD35BF">
        <w:t xml:space="preserve">que </w:t>
      </w:r>
      <w:r w:rsidR="00506C79">
        <w:t>synonymes</w:t>
      </w:r>
      <w:r w:rsidR="001C4E38">
        <w:t> ; l’habilitation spéciale : « </w:t>
      </w:r>
      <w:r w:rsidR="001C4E38" w:rsidRPr="003A659F">
        <w:rPr>
          <w:i/>
        </w:rPr>
        <w:t>les juristes produisent des plans en fonction de leurs usages</w:t>
      </w:r>
      <w:r w:rsidR="001C4E38">
        <w:t> ». Ces énoncés visent à permettre aux juristes de régir leur comportement</w:t>
      </w:r>
      <w:r w:rsidR="00937871">
        <w:t xml:space="preserve"> en fonction de leurs usages et</w:t>
      </w:r>
      <w:r w:rsidR="001C4E38">
        <w:t xml:space="preserve"> le</w:t>
      </w:r>
      <w:r w:rsidR="00506C79">
        <w:t xml:space="preserve">ur permet </w:t>
      </w:r>
      <w:r w:rsidR="00937871">
        <w:t xml:space="preserve">donc </w:t>
      </w:r>
      <w:r w:rsidR="00506C79">
        <w:t>de</w:t>
      </w:r>
      <w:r w:rsidR="001C4E38">
        <w:t xml:space="preserve"> fixer eux-mêmes les règles qui régissent leur</w:t>
      </w:r>
      <w:r w:rsidR="00506C79">
        <w:t xml:space="preserve"> propre</w:t>
      </w:r>
      <w:r w:rsidR="001C4E38">
        <w:t xml:space="preserve"> comportement, soit en général, dans la première formulation, soit à propos du plan, dans la seconde.</w:t>
      </w:r>
      <w:r w:rsidR="00314BAB">
        <w:t xml:space="preserve"> Dans la première formulation, l’habitude est une catégorie générale de normes susceptible d’être produite par les juristes</w:t>
      </w:r>
      <w:r w:rsidR="00506C79">
        <w:t>,</w:t>
      </w:r>
      <w:r w:rsidR="003A659F">
        <w:t xml:space="preserve"> quel qu’en soit le contenu</w:t>
      </w:r>
      <w:r w:rsidR="00C20AE6">
        <w:t xml:space="preserve"> ; dans la seconde, le domaine de la norme produite est restreint puisqu’il ne concerne </w:t>
      </w:r>
      <w:r w:rsidR="00862C36">
        <w:t>que le plan.</w:t>
      </w:r>
      <w:r w:rsidR="00C20AE6">
        <w:t xml:space="preserve"> </w:t>
      </w:r>
    </w:p>
    <w:p w:rsidR="00C20AE6" w:rsidRDefault="00C20AE6" w:rsidP="00C20AE6"/>
    <w:p w:rsidR="00C20AE6" w:rsidRPr="00C20AE6" w:rsidRDefault="00C20AE6" w:rsidP="00C20AE6">
      <w:r>
        <w:t>Plus généralement, d</w:t>
      </w:r>
      <w:r w:rsidRPr="00C20AE6">
        <w:t>ans le premier cas,</w:t>
      </w:r>
      <w:r w:rsidR="00CD35BF">
        <w:t xml:space="preserve"> l’on reconnaît</w:t>
      </w:r>
      <w:r w:rsidRPr="00C20AE6">
        <w:t xml:space="preserve"> la coutume, dont l’un des deux éléments constitutifs est la répétition d’un comportement constant pendant une certaine durée, ce qui renvoie à l’habitude, qui peut être une catégorie normative de droit positif si celui-ci la reconnaît comme telle. </w:t>
      </w:r>
      <w:r w:rsidR="00506C79">
        <w:t>L</w:t>
      </w:r>
      <w:r w:rsidR="00506C79" w:rsidRPr="00C20AE6">
        <w:t>a coutume étant un mode de production des normes décentralisé,</w:t>
      </w:r>
      <w:r w:rsidR="00506C79">
        <w:t xml:space="preserve"> les destinataires des normes</w:t>
      </w:r>
      <w:r w:rsidR="00CD35BF">
        <w:t xml:space="preserve"> sont habilités à </w:t>
      </w:r>
      <w:r w:rsidRPr="00C20AE6">
        <w:t xml:space="preserve">poser </w:t>
      </w:r>
      <w:r w:rsidR="00CD35BF">
        <w:t xml:space="preserve">ces normes </w:t>
      </w:r>
      <w:r w:rsidRPr="00C20AE6">
        <w:t>sur habilitation normative. Dans le second</w:t>
      </w:r>
      <w:r w:rsidR="00CD35BF">
        <w:t xml:space="preserve"> cas</w:t>
      </w:r>
      <w:r w:rsidRPr="00C20AE6">
        <w:t xml:space="preserve">, il faut </w:t>
      </w:r>
      <w:r w:rsidRPr="00C20AE6">
        <w:lastRenderedPageBreak/>
        <w:t>voir un renvoi ponctuel par le droit positif à une habitude, à une pratique, si nous retenons les deux expressions pour synonyme</w:t>
      </w:r>
      <w:r w:rsidR="00937871">
        <w:t>s</w:t>
      </w:r>
      <w:bookmarkStart w:id="0" w:name="_GoBack"/>
      <w:bookmarkEnd w:id="0"/>
      <w:r w:rsidRPr="00C20AE6">
        <w:t>, pour régir un comportement. Une norme, plutôt que de préciser de manière précise quel comportement sera imposé, peut renvoyer au</w:t>
      </w:r>
      <w:r w:rsidR="003A659F">
        <w:t xml:space="preserve"> comportement</w:t>
      </w:r>
      <w:r w:rsidR="00506C79">
        <w:t xml:space="preserve"> que l</w:t>
      </w:r>
      <w:r w:rsidR="003A659F">
        <w:t>es acteurs</w:t>
      </w:r>
      <w:r w:rsidR="00506C79">
        <w:t xml:space="preserve"> </w:t>
      </w:r>
      <w:r w:rsidRPr="00C20AE6">
        <w:t xml:space="preserve">ont </w:t>
      </w:r>
      <w:r w:rsidR="00506C79">
        <w:t xml:space="preserve">pris </w:t>
      </w:r>
      <w:r w:rsidRPr="00C20AE6">
        <w:t>l’habitude d’avoir</w:t>
      </w:r>
      <w:r w:rsidR="003A659F">
        <w:t xml:space="preserve"> comme modèle de comportement obligatoire</w:t>
      </w:r>
      <w:r w:rsidRPr="00C20AE6">
        <w:t>. Les destinataires de la règle fixent eux-mêmes la règle, sur habilitation normative.</w:t>
      </w:r>
    </w:p>
    <w:p w:rsidR="009D652C" w:rsidRDefault="009D652C"/>
    <w:p w:rsidR="00436592" w:rsidRPr="00472651" w:rsidRDefault="00AC78D8">
      <w:pPr>
        <w:rPr>
          <w:rFonts w:ascii="Arial" w:hAnsi="Arial" w:cs="Arial"/>
        </w:rPr>
      </w:pPr>
      <w:r w:rsidRPr="00472651">
        <w:rPr>
          <w:rFonts w:ascii="Arial" w:hAnsi="Arial" w:cs="Arial"/>
        </w:rPr>
        <w:t>§ II – L’habitude face au</w:t>
      </w:r>
      <w:r w:rsidR="00436592" w:rsidRPr="00472651">
        <w:rPr>
          <w:rFonts w:ascii="Arial" w:hAnsi="Arial" w:cs="Arial"/>
        </w:rPr>
        <w:t xml:space="preserve"> droit</w:t>
      </w:r>
      <w:r w:rsidRPr="00472651">
        <w:rPr>
          <w:rFonts w:ascii="Arial" w:hAnsi="Arial" w:cs="Arial"/>
        </w:rPr>
        <w:t> : le fait par rapport au droit</w:t>
      </w:r>
    </w:p>
    <w:p w:rsidR="00AC78D8" w:rsidRDefault="00AC78D8"/>
    <w:p w:rsidR="009D652C" w:rsidRDefault="009D652C">
      <w:r>
        <w:t xml:space="preserve">Il est </w:t>
      </w:r>
      <w:r w:rsidR="003A659F">
        <w:t xml:space="preserve">à présent </w:t>
      </w:r>
      <w:r>
        <w:t>nécessaire</w:t>
      </w:r>
      <w:r w:rsidR="003A659F">
        <w:t xml:space="preserve"> </w:t>
      </w:r>
      <w:r>
        <w:t>de renverser la perspective et de retenir une a</w:t>
      </w:r>
      <w:r w:rsidR="004B7EA8">
        <w:t>pproche factuelle</w:t>
      </w:r>
      <w:r w:rsidR="007D5040">
        <w:t xml:space="preserve">, </w:t>
      </w:r>
      <w:r>
        <w:t xml:space="preserve">une </w:t>
      </w:r>
      <w:r w:rsidR="007D5040">
        <w:t>approche sociale de l’habitude</w:t>
      </w:r>
      <w:r w:rsidR="008734B6">
        <w:t xml:space="preserve">, </w:t>
      </w:r>
      <w:r>
        <w:t>et établir quels peuvent être alors les rapports entre le droit et l’habitude sous le point de vue de cette dernière. Deux situations seulement sont identifiables dans le rapport qu’entretient l’habitude avec le droit et, plus précisément</w:t>
      </w:r>
      <w:r w:rsidR="003A659F">
        <w:t>, avec la norme :</w:t>
      </w:r>
      <w:r>
        <w:t xml:space="preserve"> soit l’habitude est conforme à la norme, soit elle est contraire. De manière plus souple, l’on dira que soit </w:t>
      </w:r>
      <w:r w:rsidRPr="003A659F">
        <w:rPr>
          <w:i/>
        </w:rPr>
        <w:t xml:space="preserve">l’habitude </w:t>
      </w:r>
      <w:r w:rsidRPr="003A659F">
        <w:t xml:space="preserve">est </w:t>
      </w:r>
      <w:r w:rsidRPr="003A659F">
        <w:rPr>
          <w:i/>
        </w:rPr>
        <w:t>avec le droit</w:t>
      </w:r>
      <w:r>
        <w:t xml:space="preserve">, soit elle est </w:t>
      </w:r>
      <w:r w:rsidRPr="003A659F">
        <w:rPr>
          <w:i/>
        </w:rPr>
        <w:t>contre le droit</w:t>
      </w:r>
      <w:r>
        <w:t>.</w:t>
      </w:r>
    </w:p>
    <w:p w:rsidR="009D652C" w:rsidRDefault="009D652C"/>
    <w:p w:rsidR="009D652C" w:rsidRDefault="009D652C">
      <w:r>
        <w:t>Plusieurs situations peuvent être rangées sous la catégorie générale « </w:t>
      </w:r>
      <w:r w:rsidRPr="003A659F">
        <w:rPr>
          <w:i/>
        </w:rPr>
        <w:t>l’habitude avec le droit</w:t>
      </w:r>
      <w:r>
        <w:t xml:space="preserve"> ». L’habitude peut tout d’abord être à l’origine du droit. Ce peut être un comportement habituel qui est à l’origine du choix de l’autorité normative compétence de saisir d’un point de vue normatif cette habitude. L’arrêté relatif au premier concours national d’agrégation pourrait ainsi imposer le plan en deux parties dans les épreuves du concours afin de consacrer </w:t>
      </w:r>
      <w:r w:rsidR="009E7CAE">
        <w:t xml:space="preserve">juridiquement </w:t>
      </w:r>
      <w:r>
        <w:t xml:space="preserve">l’existence d’une habitude. </w:t>
      </w:r>
      <w:r w:rsidR="003A659F">
        <w:t>Plus largement</w:t>
      </w:r>
      <w:r>
        <w:t xml:space="preserve">, il peut être utile de </w:t>
      </w:r>
      <w:r w:rsidR="00506C79">
        <w:t xml:space="preserve">rappeler </w:t>
      </w:r>
      <w:r>
        <w:t>que l’habitude est également à l’origine du droit</w:t>
      </w:r>
      <w:r w:rsidR="00506C79">
        <w:t>, on l’a vu,</w:t>
      </w:r>
      <w:r>
        <w:t xml:space="preserve"> lorsqu’un système juridique prévoit que la coutume est une catégorie normative du système.</w:t>
      </w:r>
    </w:p>
    <w:p w:rsidR="009D652C" w:rsidRDefault="009D652C"/>
    <w:p w:rsidR="009D652C" w:rsidRDefault="009D652C">
      <w:r>
        <w:t>L’habitude est ensuite avec le droit lorsque les comportement</w:t>
      </w:r>
      <w:r w:rsidR="00C25F84">
        <w:t>s</w:t>
      </w:r>
      <w:r>
        <w:t xml:space="preserve"> habituels </w:t>
      </w:r>
      <w:r w:rsidR="00C25F84">
        <w:t xml:space="preserve">sont conformes aux normes qui les régissent. Autrement dit, la norme est respectée, il y a même une habitude dans le sens du respect de la norme, celle-ci est efficace. L’habitude suit le droit. S’il existe une norme qui impose le plan en deux parties et que tous les destinataires de la norme produisent effectivement un plan en deux parties et prennent même l’habitude d’adopter un tel plan, les </w:t>
      </w:r>
      <w:r w:rsidR="00DF3E6E">
        <w:t>comportements</w:t>
      </w:r>
      <w:r w:rsidR="00C25F84">
        <w:t xml:space="preserve"> suivent les prescriptions normatives.</w:t>
      </w:r>
    </w:p>
    <w:p w:rsidR="009D652C" w:rsidRDefault="009D652C"/>
    <w:p w:rsidR="00C25F84" w:rsidRDefault="00C25F84">
      <w:r>
        <w:t xml:space="preserve">A l’opposé, </w:t>
      </w:r>
      <w:r w:rsidRPr="009E7CAE">
        <w:rPr>
          <w:i/>
        </w:rPr>
        <w:t>l’habitude</w:t>
      </w:r>
      <w:r>
        <w:t xml:space="preserve"> peut être </w:t>
      </w:r>
      <w:r w:rsidRPr="009E7CAE">
        <w:rPr>
          <w:i/>
        </w:rPr>
        <w:t>contre le droit</w:t>
      </w:r>
      <w:r>
        <w:t xml:space="preserve">. Les comportements peuvent en premier lieu résister à la norme. Le comportement des personnes obligées par la norme est différent de celui </w:t>
      </w:r>
      <w:r w:rsidR="00506C79">
        <w:t xml:space="preserve">qui est </w:t>
      </w:r>
      <w:r>
        <w:t>prescrit par la norme. La norme n’est pas respectée. Si une norme impose un plan en deux parties</w:t>
      </w:r>
      <w:r w:rsidR="009E7CAE">
        <w:t>,</w:t>
      </w:r>
      <w:r>
        <w:t xml:space="preserve"> mais que les comportements des juristes traduisent un comportement, et même une habitude différente, un plan en trois parties</w:t>
      </w:r>
      <w:r w:rsidR="00506C79">
        <w:t>,</w:t>
      </w:r>
      <w:r>
        <w:t xml:space="preserve"> par exemple, les comportements s’opposent à la norme.</w:t>
      </w:r>
    </w:p>
    <w:p w:rsidR="00C25F84" w:rsidRDefault="00C25F84"/>
    <w:p w:rsidR="00C25F84" w:rsidRDefault="00C25F84">
      <w:r>
        <w:t>De manière plus générale, plus qu’à une norme en particulier, l’</w:t>
      </w:r>
      <w:r w:rsidR="00B93E53">
        <w:t>habitude peut s’opposer à un ordre normatif de manière globale. Les habitudes peuvent alors conduire à une perte d’efficacité globale d’un système normatif</w:t>
      </w:r>
      <w:r w:rsidR="00F0182F">
        <w:t xml:space="preserve"> et donc à un renversement de l’ordre normatif en vigueur</w:t>
      </w:r>
      <w:r w:rsidR="00B93E53">
        <w:t>.</w:t>
      </w:r>
      <w:r w:rsidR="00F0182F">
        <w:t xml:space="preserve"> Les systèmes de type mafieux, par exemple, </w:t>
      </w:r>
      <w:r w:rsidR="00E8293F">
        <w:t>entend</w:t>
      </w:r>
      <w:r w:rsidR="00104165">
        <w:t>ent</w:t>
      </w:r>
      <w:r w:rsidR="00E8293F">
        <w:t xml:space="preserve"> s’opposer </w:t>
      </w:r>
      <w:r w:rsidR="00CD35BF">
        <w:t xml:space="preserve">de manière globale, </w:t>
      </w:r>
      <w:r w:rsidR="00E8293F">
        <w:t>par des pratiques contraires</w:t>
      </w:r>
      <w:r w:rsidR="00CD35BF">
        <w:t>,</w:t>
      </w:r>
      <w:r w:rsidR="00E8293F">
        <w:t xml:space="preserve"> </w:t>
      </w:r>
      <w:r w:rsidR="00E8293F">
        <w:lastRenderedPageBreak/>
        <w:t>aux règles posées par le système normatif étatique dominant.</w:t>
      </w:r>
      <w:r w:rsidR="00104165">
        <w:t xml:space="preserve"> Ils peuvent renverser celui-ci </w:t>
      </w:r>
      <w:r w:rsidR="00DF3E6E">
        <w:t>dès</w:t>
      </w:r>
      <w:r w:rsidR="00104165">
        <w:t xml:space="preserve"> lors qu’ils parviennent à </w:t>
      </w:r>
      <w:r w:rsidR="00DF3E6E">
        <w:t>ce que les comportements adopté</w:t>
      </w:r>
      <w:r w:rsidR="00104165">
        <w:t xml:space="preserve">s, plutôt que </w:t>
      </w:r>
      <w:r w:rsidR="009E7CAE">
        <w:t>d’être</w:t>
      </w:r>
      <w:r w:rsidR="00104165">
        <w:t xml:space="preserve"> globalement </w:t>
      </w:r>
      <w:r w:rsidR="009E7CAE">
        <w:t>c</w:t>
      </w:r>
      <w:r w:rsidR="00506C79">
        <w:t>onformes aux règles du</w:t>
      </w:r>
      <w:r w:rsidR="009E7CAE">
        <w:t xml:space="preserve"> système normatif étatique</w:t>
      </w:r>
      <w:r w:rsidR="00104165">
        <w:t xml:space="preserve">, </w:t>
      </w:r>
      <w:r w:rsidR="009E7CAE">
        <w:t>sont conformes à</w:t>
      </w:r>
      <w:r w:rsidR="00104165">
        <w:t xml:space="preserve"> celles du système normatif mafieux.</w:t>
      </w:r>
    </w:p>
    <w:p w:rsidR="00E8293F" w:rsidRDefault="00E8293F"/>
    <w:p w:rsidR="00A2696F" w:rsidRDefault="00A2696F">
      <w:r>
        <w:t>Imaginons, même s’il faut beaucoup d’imagination, que la communauté des juristes refusent non seulement d’appliquer le plan en deux parties (beaucoup d’imagination disions-nous), mais qu’elle ne mette plus ses robes d’apparat, qu’elle n’écrive plus qu’en anglai</w:t>
      </w:r>
      <w:r w:rsidR="00DF3E6E">
        <w:t>s, des articles</w:t>
      </w:r>
      <w:r>
        <w:t xml:space="preserve"> de fond, </w:t>
      </w:r>
      <w:r w:rsidR="00DF3E6E">
        <w:t xml:space="preserve">s’appuyant sur un cadre théorique et épistémologique rigoureux, </w:t>
      </w:r>
      <w:r w:rsidR="00617EC1">
        <w:t>qu’elle témoigne</w:t>
      </w:r>
      <w:r w:rsidR="00DF3E6E">
        <w:t>, dans le prolongement,</w:t>
      </w:r>
      <w:r w:rsidR="00617EC1">
        <w:t xml:space="preserve"> d’</w:t>
      </w:r>
      <w:r w:rsidR="00E8293F">
        <w:t>une culture s</w:t>
      </w:r>
      <w:r w:rsidR="00617EC1">
        <w:t>c</w:t>
      </w:r>
      <w:r w:rsidR="00E8293F">
        <w:t>i</w:t>
      </w:r>
      <w:r w:rsidR="00617EC1">
        <w:t xml:space="preserve">entifique dans </w:t>
      </w:r>
      <w:r w:rsidR="00E8293F">
        <w:t xml:space="preserve">toutes ses activités, des thèses aux soutenances de thèse, aux colloques, à la rédaction d’ouvrages, </w:t>
      </w:r>
      <w:r>
        <w:t xml:space="preserve">c’est bien l’ordre normatif universitaire dans son ensemble </w:t>
      </w:r>
      <w:r w:rsidR="00E8293F">
        <w:t>qui serai</w:t>
      </w:r>
      <w:r w:rsidR="00DF3E6E">
        <w:t>t remis en cause et non plus</w:t>
      </w:r>
      <w:r w:rsidR="00506C79">
        <w:t>,</w:t>
      </w:r>
      <w:r w:rsidR="00DF3E6E">
        <w:t xml:space="preserve"> seulement</w:t>
      </w:r>
      <w:r w:rsidR="00506C79">
        <w:t>,</w:t>
      </w:r>
      <w:r w:rsidR="00DF3E6E">
        <w:t xml:space="preserve"> l’une des règles</w:t>
      </w:r>
      <w:r w:rsidR="00E8293F">
        <w:t xml:space="preserve"> </w:t>
      </w:r>
      <w:r w:rsidR="00DF3E6E">
        <w:t>qu’elle s’impose</w:t>
      </w:r>
      <w:r w:rsidR="00E8293F">
        <w:t>.</w:t>
      </w:r>
    </w:p>
    <w:p w:rsidR="00DF3E6E" w:rsidRDefault="00DF3E6E"/>
    <w:p w:rsidR="00DF3E6E" w:rsidRDefault="00DF3E6E">
      <w:r>
        <w:t>Les</w:t>
      </w:r>
      <w:r w:rsidR="009E7CAE">
        <w:t xml:space="preserve"> catégories ainsi posées, </w:t>
      </w:r>
      <w:r>
        <w:t xml:space="preserve">seront, dans le meilleur des cas, illustrées, dans le pire, remises en cause, et selon une voie médiane, éprouvées par les contributions </w:t>
      </w:r>
      <w:r w:rsidR="009963C9">
        <w:t>qui suivront</w:t>
      </w:r>
      <w:r>
        <w:t>. La mise à l’épreuve de cette classification échappe ainsi à celui qui la pr</w:t>
      </w:r>
      <w:r w:rsidR="009E7CAE">
        <w:t>opose. Il faut y voir le privilège</w:t>
      </w:r>
      <w:r>
        <w:t xml:space="preserve"> d’intervenir en premier.</w:t>
      </w:r>
      <w:r w:rsidR="009E7CAE">
        <w:t xml:space="preserve"> Qu’il nous soit permis de remercier </w:t>
      </w:r>
      <w:r w:rsidR="00506C79">
        <w:t xml:space="preserve">encore </w:t>
      </w:r>
      <w:r w:rsidR="009E7CAE">
        <w:t>celles qui sont à l’initiative de cet ouvrage également pour nous avoir accordé ce privilège.</w:t>
      </w:r>
    </w:p>
    <w:sectPr w:rsidR="00DF3E6E" w:rsidSect="00230E3F">
      <w:headerReference w:type="even" r:id="rId8"/>
      <w:headerReference w:type="default" r:id="rId9"/>
      <w:footerReference w:type="even" r:id="rId10"/>
      <w:footerReference w:type="defaul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908" w:rsidRDefault="00460908" w:rsidP="0082250F">
      <w:pPr>
        <w:spacing w:line="240" w:lineRule="auto"/>
      </w:pPr>
      <w:r>
        <w:separator/>
      </w:r>
    </w:p>
  </w:endnote>
  <w:endnote w:type="continuationSeparator" w:id="0">
    <w:p w:rsidR="00460908" w:rsidRDefault="00460908" w:rsidP="00822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17215427"/>
      <w:docPartObj>
        <w:docPartGallery w:val="Page Numbers (Bottom of Page)"/>
        <w:docPartUnique/>
      </w:docPartObj>
    </w:sdtPr>
    <w:sdtEndPr>
      <w:rPr>
        <w:rStyle w:val="Numrodepage"/>
      </w:rPr>
    </w:sdtEndPr>
    <w:sdtContent>
      <w:p w:rsidR="00230E3F" w:rsidRDefault="00230E3F" w:rsidP="00A56E8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30E3F" w:rsidRDefault="00230E3F" w:rsidP="00230E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3F" w:rsidRDefault="00230E3F" w:rsidP="00A56E87">
    <w:pPr>
      <w:pStyle w:val="Pieddepage"/>
      <w:framePr w:wrap="none" w:vAnchor="text" w:hAnchor="margin" w:xAlign="right" w:y="1"/>
      <w:rPr>
        <w:rStyle w:val="Numrodepage"/>
      </w:rPr>
    </w:pPr>
  </w:p>
  <w:p w:rsidR="00230E3F" w:rsidRDefault="00230E3F" w:rsidP="00230E3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908" w:rsidRDefault="00460908" w:rsidP="0082250F">
      <w:pPr>
        <w:spacing w:line="240" w:lineRule="auto"/>
      </w:pPr>
      <w:r>
        <w:separator/>
      </w:r>
    </w:p>
  </w:footnote>
  <w:footnote w:type="continuationSeparator" w:id="0">
    <w:p w:rsidR="00460908" w:rsidRDefault="00460908" w:rsidP="0082250F">
      <w:pPr>
        <w:spacing w:line="240" w:lineRule="auto"/>
      </w:pPr>
      <w:r>
        <w:continuationSeparator/>
      </w:r>
    </w:p>
  </w:footnote>
  <w:footnote w:id="1">
    <w:p w:rsidR="00E11BD2" w:rsidRDefault="00E11BD2" w:rsidP="004B7CB0">
      <w:pPr>
        <w:pStyle w:val="Notedebasdepage"/>
        <w:spacing w:before="120"/>
        <w:ind w:left="567" w:hanging="567"/>
      </w:pPr>
      <w:r>
        <w:rPr>
          <w:rStyle w:val="Appelnotedebasdep"/>
        </w:rPr>
        <w:footnoteRef/>
      </w:r>
      <w:r>
        <w:t xml:space="preserve"> </w:t>
      </w:r>
      <w:r>
        <w:tab/>
        <w:t xml:space="preserve">H. </w:t>
      </w:r>
      <w:r>
        <w:rPr>
          <w:smallCaps/>
        </w:rPr>
        <w:t>Kelsen,</w:t>
      </w:r>
      <w:r>
        <w:rPr>
          <w:i/>
          <w:iCs/>
        </w:rPr>
        <w:t xml:space="preserve"> Théorie pure du droit</w:t>
      </w:r>
      <w:r>
        <w:rPr>
          <w:iCs/>
        </w:rPr>
        <w:t xml:space="preserve">, </w:t>
      </w:r>
      <w:r>
        <w:t xml:space="preserve">Traduit par Charles </w:t>
      </w:r>
      <w:proofErr w:type="spellStart"/>
      <w:r w:rsidRPr="00597C20">
        <w:rPr>
          <w:smallCaps/>
        </w:rPr>
        <w:t>Eisenmann</w:t>
      </w:r>
      <w:proofErr w:type="spellEnd"/>
      <w:r>
        <w:t>, 2</w:t>
      </w:r>
      <w:r>
        <w:rPr>
          <w:vertAlign w:val="superscript"/>
        </w:rPr>
        <w:t>ème</w:t>
      </w:r>
      <w:r>
        <w:t xml:space="preserve"> édition, 1962, Dalloz, voir, en particulier, pp. 6 et </w:t>
      </w:r>
      <w:proofErr w:type="spellStart"/>
      <w:r>
        <w:t>ss</w:t>
      </w:r>
      <w:proofErr w:type="spellEnd"/>
      <w:r>
        <w:t>.</w:t>
      </w:r>
    </w:p>
  </w:footnote>
  <w:footnote w:id="2">
    <w:p w:rsidR="0079208F" w:rsidRPr="0079208F" w:rsidRDefault="0079208F" w:rsidP="004B7CB0">
      <w:pPr>
        <w:pStyle w:val="Notedebasdepage"/>
        <w:spacing w:before="120"/>
        <w:ind w:left="567" w:hanging="567"/>
      </w:pPr>
      <w:r>
        <w:rPr>
          <w:rStyle w:val="Appelnotedebasdep"/>
        </w:rPr>
        <w:footnoteRef/>
      </w:r>
      <w:r>
        <w:t xml:space="preserve"> </w:t>
      </w:r>
      <w:r>
        <w:tab/>
        <w:t xml:space="preserve">Voir sur cette question, relativisant la remise en cause de la définition classique du droit consécutive à ces « nouvelles » formes du droit : </w:t>
      </w:r>
      <w:r w:rsidRPr="0079208F">
        <w:t>« L’ontologie du droit : droit souple c. droit dur »,</w:t>
      </w:r>
      <w:r>
        <w:t xml:space="preserve"> à paraître à la </w:t>
      </w:r>
      <w:r>
        <w:rPr>
          <w:i/>
        </w:rPr>
        <w:t>RFDC</w:t>
      </w:r>
      <w:r>
        <w:t>.</w:t>
      </w:r>
    </w:p>
  </w:footnote>
  <w:footnote w:id="3">
    <w:p w:rsidR="00A060C9" w:rsidRPr="001A42B3" w:rsidRDefault="00A060C9" w:rsidP="004B7CB0">
      <w:pPr>
        <w:pStyle w:val="Notedebasdepage"/>
        <w:spacing w:before="120"/>
        <w:ind w:left="567" w:hanging="567"/>
        <w:rPr>
          <w:szCs w:val="18"/>
        </w:rPr>
      </w:pPr>
      <w:r>
        <w:rPr>
          <w:rStyle w:val="Appelnotedebasdep"/>
        </w:rPr>
        <w:footnoteRef/>
      </w:r>
      <w:r>
        <w:t xml:space="preserve"> </w:t>
      </w:r>
      <w:r>
        <w:tab/>
        <w:t>N’avançons pas pour autant masqué et révélons la définition, sous-jacente, qui sera retenue d’une norme juridique, le droit étant constitué d’un</w:t>
      </w:r>
      <w:r w:rsidR="00DA11BB">
        <w:t xml:space="preserve"> ensemble de normes juridiques. C</w:t>
      </w:r>
      <w:r w:rsidRPr="00FD5AE8">
        <w:t xml:space="preserve">onstitue ainsi une norme </w:t>
      </w:r>
      <w:r>
        <w:t xml:space="preserve">juridique </w:t>
      </w:r>
      <w:r w:rsidRPr="00FD5AE8">
        <w:t xml:space="preserve">la signification d’un énoncé prescriptif qui oblige, interdit, permet ou habilite un certain comportement, qualifiée de norme par une autre norme et </w:t>
      </w:r>
      <w:r>
        <w:t>qui</w:t>
      </w:r>
      <w:r w:rsidRPr="00FD5AE8">
        <w:t xml:space="preserve"> appartient à un ordre normatif globalement efficace et sanctionné</w:t>
      </w:r>
      <w:r>
        <w:t xml:space="preserve"> (Voir sur cette définition et, plus largement pour une approche théorique </w:t>
      </w:r>
      <w:proofErr w:type="spellStart"/>
      <w:r>
        <w:t>normativiste</w:t>
      </w:r>
      <w:proofErr w:type="spellEnd"/>
      <w:r>
        <w:t xml:space="preserve"> du droit :</w:t>
      </w:r>
      <w:r w:rsidRPr="001A42B3">
        <w:rPr>
          <w:bCs/>
          <w:i/>
          <w:sz w:val="22"/>
          <w:szCs w:val="22"/>
        </w:rPr>
        <w:t xml:space="preserve"> </w:t>
      </w:r>
      <w:r w:rsidRPr="001A42B3">
        <w:rPr>
          <w:bCs/>
          <w:i/>
          <w:szCs w:val="18"/>
        </w:rPr>
        <w:t>Théorie(s) du droit</w:t>
      </w:r>
      <w:r w:rsidRPr="001A42B3">
        <w:rPr>
          <w:bCs/>
          <w:szCs w:val="18"/>
        </w:rPr>
        <w:t>, Ellipses, Collection Universités Droit, 2008, 167 p.</w:t>
      </w:r>
      <w:r>
        <w:rPr>
          <w:bCs/>
          <w:szCs w:val="18"/>
        </w:rPr>
        <w:t xml:space="preserve">, p. 33 pour la définition </w:t>
      </w:r>
      <w:proofErr w:type="spellStart"/>
      <w:r>
        <w:rPr>
          <w:bCs/>
          <w:szCs w:val="18"/>
        </w:rPr>
        <w:t>normativiste</w:t>
      </w:r>
      <w:proofErr w:type="spellEnd"/>
      <w:r>
        <w:rPr>
          <w:bCs/>
          <w:szCs w:val="18"/>
        </w:rPr>
        <w:t xml:space="preserve"> du droit</w:t>
      </w:r>
      <w:r w:rsidR="00DA11BB">
        <w:rPr>
          <w:bCs/>
          <w:szCs w:val="18"/>
        </w:rPr>
        <w:t>)</w:t>
      </w:r>
      <w:r>
        <w:rPr>
          <w:bCs/>
          <w:szCs w:val="18"/>
        </w:rPr>
        <w:t>.</w:t>
      </w:r>
    </w:p>
  </w:footnote>
  <w:footnote w:id="4">
    <w:p w:rsidR="00083799" w:rsidRDefault="00083799" w:rsidP="004B7CB0">
      <w:pPr>
        <w:pStyle w:val="Notedebasdepage"/>
        <w:spacing w:before="120"/>
        <w:ind w:left="567" w:hanging="567"/>
      </w:pPr>
      <w:r>
        <w:rPr>
          <w:rStyle w:val="Appelnotedebasdep"/>
        </w:rPr>
        <w:footnoteRef/>
      </w:r>
      <w:r>
        <w:t xml:space="preserve"> </w:t>
      </w:r>
      <w:r>
        <w:tab/>
        <w:t xml:space="preserve">D. </w:t>
      </w:r>
      <w:r w:rsidRPr="0028371B">
        <w:rPr>
          <w:smallCaps/>
        </w:rPr>
        <w:t>Hume</w:t>
      </w:r>
      <w:r>
        <w:t xml:space="preserve">, </w:t>
      </w:r>
      <w:r>
        <w:rPr>
          <w:i/>
        </w:rPr>
        <w:t>Traité sur la nature humaine</w:t>
      </w:r>
      <w:r>
        <w:t xml:space="preserve">, 1777, extrait repris et traduit in </w:t>
      </w:r>
      <w:r>
        <w:rPr>
          <w:i/>
        </w:rPr>
        <w:t>Le positivisme juridique</w:t>
      </w:r>
      <w:r>
        <w:t xml:space="preserve">, sous la direction de C. </w:t>
      </w:r>
      <w:proofErr w:type="spellStart"/>
      <w:r w:rsidRPr="008E2F9F">
        <w:rPr>
          <w:smallCaps/>
        </w:rPr>
        <w:t>Grzegorczyk</w:t>
      </w:r>
      <w:proofErr w:type="spellEnd"/>
      <w:r>
        <w:t xml:space="preserve">, F. </w:t>
      </w:r>
      <w:proofErr w:type="spellStart"/>
      <w:r w:rsidRPr="008E2F9F">
        <w:rPr>
          <w:smallCaps/>
        </w:rPr>
        <w:t>Michaut</w:t>
      </w:r>
      <w:proofErr w:type="spellEnd"/>
      <w:r>
        <w:t xml:space="preserve"> et M. </w:t>
      </w:r>
      <w:proofErr w:type="spellStart"/>
      <w:r w:rsidRPr="008E2F9F">
        <w:rPr>
          <w:smallCaps/>
        </w:rPr>
        <w:t>Troper</w:t>
      </w:r>
      <w:proofErr w:type="spellEnd"/>
      <w:r>
        <w:t>, L.G.D.J., La pensée juridique moderne, 1992, pp. 244-245.</w:t>
      </w:r>
    </w:p>
  </w:footnote>
  <w:footnote w:id="5">
    <w:p w:rsidR="00E36334" w:rsidRPr="009B3699" w:rsidRDefault="00E36334" w:rsidP="004B7CB0">
      <w:pPr>
        <w:pStyle w:val="Notedebasdepage"/>
        <w:spacing w:before="120"/>
        <w:ind w:left="567" w:hanging="567"/>
      </w:pPr>
      <w:r>
        <w:rPr>
          <w:rStyle w:val="Appelnotedebasdep"/>
        </w:rPr>
        <w:footnoteRef/>
      </w:r>
      <w:r>
        <w:t xml:space="preserve"> </w:t>
      </w:r>
      <w:r>
        <w:tab/>
      </w:r>
      <w:r w:rsidR="009B3699">
        <w:t xml:space="preserve">Sur la distinction causalité/imputation, voir H. </w:t>
      </w:r>
      <w:r w:rsidR="009B3699">
        <w:rPr>
          <w:smallCaps/>
        </w:rPr>
        <w:t>Kelsen,</w:t>
      </w:r>
      <w:r w:rsidR="009B3699">
        <w:rPr>
          <w:i/>
          <w:iCs/>
        </w:rPr>
        <w:t xml:space="preserve"> Théorie pure du droit</w:t>
      </w:r>
      <w:r w:rsidR="009B3699">
        <w:rPr>
          <w:iCs/>
        </w:rPr>
        <w:t xml:space="preserve">, </w:t>
      </w:r>
      <w:r w:rsidR="009B3699">
        <w:rPr>
          <w:i/>
          <w:iCs/>
        </w:rPr>
        <w:t xml:space="preserve">op. </w:t>
      </w:r>
      <w:proofErr w:type="spellStart"/>
      <w:proofErr w:type="gramStart"/>
      <w:r w:rsidR="009B3699">
        <w:rPr>
          <w:i/>
          <w:iCs/>
        </w:rPr>
        <w:t>cit</w:t>
      </w:r>
      <w:proofErr w:type="spellEnd"/>
      <w:proofErr w:type="gramEnd"/>
      <w:r w:rsidR="009B3699">
        <w:rPr>
          <w:i/>
          <w:iCs/>
        </w:rPr>
        <w:t>.</w:t>
      </w:r>
      <w:r w:rsidR="009B3699">
        <w:rPr>
          <w:iCs/>
        </w:rPr>
        <w:t xml:space="preserve">, pp. 104 et </w:t>
      </w:r>
      <w:proofErr w:type="spellStart"/>
      <w:r w:rsidR="009B3699">
        <w:rPr>
          <w:iCs/>
        </w:rPr>
        <w:t>ss</w:t>
      </w:r>
      <w:proofErr w:type="spellEnd"/>
      <w:r w:rsidR="009B3699">
        <w:rPr>
          <w:iCs/>
        </w:rPr>
        <w:t>.</w:t>
      </w:r>
    </w:p>
  </w:footnote>
  <w:footnote w:id="6">
    <w:p w:rsidR="0082250F" w:rsidRDefault="0082250F" w:rsidP="004B7CB0">
      <w:pPr>
        <w:pStyle w:val="Notedebasdepage"/>
        <w:spacing w:before="120"/>
        <w:ind w:left="567" w:hanging="567"/>
        <w:jc w:val="left"/>
      </w:pPr>
      <w:r>
        <w:rPr>
          <w:rStyle w:val="Appelnotedebasdep"/>
        </w:rPr>
        <w:footnoteRef/>
      </w:r>
      <w:r>
        <w:t xml:space="preserve"> </w:t>
      </w:r>
      <w:r>
        <w:tab/>
        <w:t xml:space="preserve">Ces définitions sont celles du Larousse en ligne : </w:t>
      </w:r>
      <w:r w:rsidRPr="004B7CB0">
        <w:rPr>
          <w:i/>
        </w:rPr>
        <w:t>https://www.larousse.fr/dictionnaires/francais/habitude/38783</w:t>
      </w:r>
      <w:r>
        <w:t>.</w:t>
      </w:r>
    </w:p>
  </w:footnote>
  <w:footnote w:id="7">
    <w:p w:rsidR="0082250F" w:rsidRDefault="0082250F" w:rsidP="004B7CB0">
      <w:pPr>
        <w:pStyle w:val="Notedebasdepage"/>
        <w:spacing w:before="120"/>
        <w:ind w:left="567" w:hanging="567"/>
      </w:pPr>
      <w:r>
        <w:rPr>
          <w:rStyle w:val="Appelnotedebasdep"/>
        </w:rPr>
        <w:footnoteRef/>
      </w:r>
      <w:r>
        <w:t xml:space="preserve"> </w:t>
      </w:r>
      <w:r>
        <w:tab/>
        <w:t>Cette définition est celle proposée par le Centre national de Ressources Textuelles et Lexicales :</w:t>
      </w:r>
      <w:r w:rsidRPr="0082250F">
        <w:t xml:space="preserve"> </w:t>
      </w:r>
      <w:r w:rsidRPr="0082250F">
        <w:rPr>
          <w:i/>
        </w:rPr>
        <w:t>http://www.cnrtl.fr/lexicographie/habitudes</w:t>
      </w:r>
      <w:r>
        <w:t>.</w:t>
      </w:r>
    </w:p>
  </w:footnote>
  <w:footnote w:id="8">
    <w:p w:rsidR="00F177F5" w:rsidRDefault="00F177F5" w:rsidP="004B7CB0">
      <w:pPr>
        <w:pStyle w:val="Notedebasdepage"/>
        <w:spacing w:before="120"/>
        <w:ind w:left="567" w:hanging="567"/>
      </w:pPr>
      <w:r>
        <w:rPr>
          <w:rStyle w:val="Appelnotedebasdep"/>
        </w:rPr>
        <w:footnoteRef/>
      </w:r>
      <w:r>
        <w:t xml:space="preserve"> </w:t>
      </w:r>
      <w:r>
        <w:tab/>
      </w:r>
      <w:r w:rsidR="00071A4B">
        <w:t>Retenons-en</w:t>
      </w:r>
      <w:r>
        <w:t xml:space="preserve"> ici une définition courante, l’un de celles proposée par le Larousse en ligne : « substance dont l’usage excessif est toxique en raison aussi de la dépendance qu’il crée chez l’utilisateur ».</w:t>
      </w:r>
    </w:p>
  </w:footnote>
  <w:footnote w:id="9">
    <w:p w:rsidR="00071A4B" w:rsidRDefault="00071A4B" w:rsidP="004B7CB0">
      <w:pPr>
        <w:pStyle w:val="Notedebasdepage"/>
        <w:spacing w:before="120"/>
        <w:ind w:left="567" w:hanging="567"/>
      </w:pPr>
      <w:r>
        <w:rPr>
          <w:rStyle w:val="Appelnotedebasdep"/>
        </w:rPr>
        <w:footnoteRef/>
      </w:r>
      <w:r>
        <w:t xml:space="preserve"> </w:t>
      </w:r>
      <w:r>
        <w:tab/>
        <w:t xml:space="preserve">Le concept de souveraineté, pour ne retenir qu’un seul exemple, dont on sait qu’il s’agit d’un concept éminemment politique, mettant en relief, en particulier, le caractère suprême d’une puissance, peut être formulé sous la forme d’une </w:t>
      </w:r>
      <w:r w:rsidRPr="00071A4B">
        <w:rPr>
          <w:i/>
        </w:rPr>
        <w:t>habilitation</w:t>
      </w:r>
      <w:r>
        <w:t xml:space="preserve"> de </w:t>
      </w:r>
      <w:r w:rsidRPr="00071A4B">
        <w:t>l’</w:t>
      </w:r>
      <w:r w:rsidRPr="00071A4B">
        <w:rPr>
          <w:i/>
        </w:rPr>
        <w:t>ordre juridique</w:t>
      </w:r>
      <w:r>
        <w:t xml:space="preserve"> international à une entité que d’être un organe de cet </w:t>
      </w:r>
      <w:r w:rsidRPr="00071A4B">
        <w:rPr>
          <w:i/>
        </w:rPr>
        <w:t>ordre juridique</w:t>
      </w:r>
      <w:r>
        <w:t xml:space="preserve"> susceptible de produire les </w:t>
      </w:r>
      <w:r w:rsidRPr="00071A4B">
        <w:rPr>
          <w:i/>
        </w:rPr>
        <w:t>normes</w:t>
      </w:r>
      <w:r>
        <w:t xml:space="preserve"> de cet </w:t>
      </w:r>
      <w:r w:rsidRPr="00071A4B">
        <w:rPr>
          <w:i/>
        </w:rPr>
        <w:t>ordre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38795157"/>
      <w:docPartObj>
        <w:docPartGallery w:val="Page Numbers (Top of Page)"/>
        <w:docPartUnique/>
      </w:docPartObj>
    </w:sdtPr>
    <w:sdtEndPr>
      <w:rPr>
        <w:rStyle w:val="Numrodepage"/>
      </w:rPr>
    </w:sdtEndPr>
    <w:sdtContent>
      <w:p w:rsidR="00230E3F" w:rsidRDefault="00230E3F" w:rsidP="00A56E87">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30E3F" w:rsidRDefault="00230E3F" w:rsidP="00230E3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73916448"/>
      <w:docPartObj>
        <w:docPartGallery w:val="Page Numbers (Top of Page)"/>
        <w:docPartUnique/>
      </w:docPartObj>
    </w:sdtPr>
    <w:sdtEndPr>
      <w:rPr>
        <w:rStyle w:val="Numrodepage"/>
      </w:rPr>
    </w:sdtEndPr>
    <w:sdtContent>
      <w:p w:rsidR="00230E3F" w:rsidRDefault="00230E3F" w:rsidP="00A56E87">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230E3F" w:rsidRDefault="00230E3F" w:rsidP="00230E3F">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797"/>
    <w:multiLevelType w:val="multilevel"/>
    <w:tmpl w:val="3D4054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8333D"/>
    <w:multiLevelType w:val="hybridMultilevel"/>
    <w:tmpl w:val="E57677FC"/>
    <w:lvl w:ilvl="0" w:tplc="A5C64A0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E237CC"/>
    <w:multiLevelType w:val="hybridMultilevel"/>
    <w:tmpl w:val="4498F26C"/>
    <w:lvl w:ilvl="0" w:tplc="A1C6D23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443615"/>
    <w:multiLevelType w:val="hybridMultilevel"/>
    <w:tmpl w:val="6DACCF1C"/>
    <w:lvl w:ilvl="0" w:tplc="5964E838">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B6"/>
    <w:rsid w:val="00017F50"/>
    <w:rsid w:val="00034FAB"/>
    <w:rsid w:val="00063137"/>
    <w:rsid w:val="00071A4B"/>
    <w:rsid w:val="00083799"/>
    <w:rsid w:val="00091F8B"/>
    <w:rsid w:val="00104165"/>
    <w:rsid w:val="00175C5D"/>
    <w:rsid w:val="0019565E"/>
    <w:rsid w:val="001A2339"/>
    <w:rsid w:val="001B187F"/>
    <w:rsid w:val="001B4AF5"/>
    <w:rsid w:val="001C4E38"/>
    <w:rsid w:val="001E7C5D"/>
    <w:rsid w:val="001F75B6"/>
    <w:rsid w:val="00201907"/>
    <w:rsid w:val="00230E3F"/>
    <w:rsid w:val="00242C2B"/>
    <w:rsid w:val="00274C1A"/>
    <w:rsid w:val="002873AC"/>
    <w:rsid w:val="002A3CCC"/>
    <w:rsid w:val="002D3742"/>
    <w:rsid w:val="002D63E6"/>
    <w:rsid w:val="00300BB0"/>
    <w:rsid w:val="00305B00"/>
    <w:rsid w:val="0030725E"/>
    <w:rsid w:val="00314BAB"/>
    <w:rsid w:val="0033248B"/>
    <w:rsid w:val="0036292E"/>
    <w:rsid w:val="00394864"/>
    <w:rsid w:val="003A659F"/>
    <w:rsid w:val="003C3151"/>
    <w:rsid w:val="003C4DCD"/>
    <w:rsid w:val="003D3EF2"/>
    <w:rsid w:val="00425CBC"/>
    <w:rsid w:val="00426AF4"/>
    <w:rsid w:val="00436592"/>
    <w:rsid w:val="0045413B"/>
    <w:rsid w:val="00460908"/>
    <w:rsid w:val="00472651"/>
    <w:rsid w:val="0048793E"/>
    <w:rsid w:val="00487E4D"/>
    <w:rsid w:val="004A38A0"/>
    <w:rsid w:val="004A6D63"/>
    <w:rsid w:val="004B7CB0"/>
    <w:rsid w:val="004B7EA8"/>
    <w:rsid w:val="004E498B"/>
    <w:rsid w:val="004F11E1"/>
    <w:rsid w:val="00506C79"/>
    <w:rsid w:val="0050750D"/>
    <w:rsid w:val="00511265"/>
    <w:rsid w:val="00512B3B"/>
    <w:rsid w:val="005537C6"/>
    <w:rsid w:val="00567723"/>
    <w:rsid w:val="00576E85"/>
    <w:rsid w:val="00590BEF"/>
    <w:rsid w:val="00592FEB"/>
    <w:rsid w:val="005C3A4B"/>
    <w:rsid w:val="005D73A1"/>
    <w:rsid w:val="00617EC1"/>
    <w:rsid w:val="006431A0"/>
    <w:rsid w:val="006610AB"/>
    <w:rsid w:val="00672758"/>
    <w:rsid w:val="006774D1"/>
    <w:rsid w:val="006A09DB"/>
    <w:rsid w:val="00717DE5"/>
    <w:rsid w:val="0072598B"/>
    <w:rsid w:val="007270F5"/>
    <w:rsid w:val="0076525F"/>
    <w:rsid w:val="00775DEC"/>
    <w:rsid w:val="0078036E"/>
    <w:rsid w:val="00782691"/>
    <w:rsid w:val="0079208F"/>
    <w:rsid w:val="007D2939"/>
    <w:rsid w:val="007D5040"/>
    <w:rsid w:val="007D7EE9"/>
    <w:rsid w:val="0082250F"/>
    <w:rsid w:val="00862C36"/>
    <w:rsid w:val="00864E76"/>
    <w:rsid w:val="008734B6"/>
    <w:rsid w:val="00876A62"/>
    <w:rsid w:val="008A098F"/>
    <w:rsid w:val="008A4EF7"/>
    <w:rsid w:val="008D3305"/>
    <w:rsid w:val="008D3C29"/>
    <w:rsid w:val="008E6CDE"/>
    <w:rsid w:val="009046F5"/>
    <w:rsid w:val="00937871"/>
    <w:rsid w:val="00953CC5"/>
    <w:rsid w:val="0096132F"/>
    <w:rsid w:val="009963C9"/>
    <w:rsid w:val="009B3699"/>
    <w:rsid w:val="009C4F24"/>
    <w:rsid w:val="009D652C"/>
    <w:rsid w:val="009D6FB5"/>
    <w:rsid w:val="009E7CAE"/>
    <w:rsid w:val="00A060C9"/>
    <w:rsid w:val="00A2696F"/>
    <w:rsid w:val="00A44B0D"/>
    <w:rsid w:val="00A75756"/>
    <w:rsid w:val="00AA49E7"/>
    <w:rsid w:val="00AB5B45"/>
    <w:rsid w:val="00AC78D8"/>
    <w:rsid w:val="00B3292D"/>
    <w:rsid w:val="00B65CC0"/>
    <w:rsid w:val="00B93E53"/>
    <w:rsid w:val="00BB5036"/>
    <w:rsid w:val="00BC2078"/>
    <w:rsid w:val="00BE7EEE"/>
    <w:rsid w:val="00BF49A7"/>
    <w:rsid w:val="00C06399"/>
    <w:rsid w:val="00C20AE6"/>
    <w:rsid w:val="00C25F84"/>
    <w:rsid w:val="00C52680"/>
    <w:rsid w:val="00C56E6A"/>
    <w:rsid w:val="00C64354"/>
    <w:rsid w:val="00C83384"/>
    <w:rsid w:val="00CD35BF"/>
    <w:rsid w:val="00CF58BB"/>
    <w:rsid w:val="00D054AB"/>
    <w:rsid w:val="00D11C9E"/>
    <w:rsid w:val="00D12C6F"/>
    <w:rsid w:val="00D642CF"/>
    <w:rsid w:val="00DA11BB"/>
    <w:rsid w:val="00DD1E95"/>
    <w:rsid w:val="00DF3E6E"/>
    <w:rsid w:val="00E11BD2"/>
    <w:rsid w:val="00E301CF"/>
    <w:rsid w:val="00E30DC4"/>
    <w:rsid w:val="00E36334"/>
    <w:rsid w:val="00E545EE"/>
    <w:rsid w:val="00E57DF4"/>
    <w:rsid w:val="00E8293F"/>
    <w:rsid w:val="00EC3BED"/>
    <w:rsid w:val="00ED4401"/>
    <w:rsid w:val="00F0182F"/>
    <w:rsid w:val="00F01C59"/>
    <w:rsid w:val="00F177F5"/>
    <w:rsid w:val="00F31DEF"/>
    <w:rsid w:val="00F427D4"/>
    <w:rsid w:val="00F722B2"/>
    <w:rsid w:val="00F74F23"/>
    <w:rsid w:val="00F92B8C"/>
    <w:rsid w:val="00F96C0C"/>
    <w:rsid w:val="00FB5063"/>
    <w:rsid w:val="00FE21AE"/>
    <w:rsid w:val="00FF1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A5B8"/>
  <w14:defaultImageDpi w14:val="32767"/>
  <w15:chartTrackingRefBased/>
  <w15:docId w15:val="{A1AC1479-3CD4-D248-A116-80554967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45EE"/>
    <w:pPr>
      <w:spacing w:line="340" w:lineRule="exact"/>
      <w:jc w:val="both"/>
    </w:pPr>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76E85"/>
  </w:style>
  <w:style w:type="character" w:customStyle="1" w:styleId="sdzsvb">
    <w:name w:val="sdzsvb"/>
    <w:basedOn w:val="Policepardfaut"/>
    <w:rsid w:val="00576E85"/>
  </w:style>
  <w:style w:type="paragraph" w:styleId="Paragraphedeliste">
    <w:name w:val="List Paragraph"/>
    <w:basedOn w:val="Normal"/>
    <w:uiPriority w:val="34"/>
    <w:qFormat/>
    <w:rsid w:val="00274C1A"/>
    <w:pPr>
      <w:ind w:left="720"/>
      <w:contextualSpacing/>
    </w:pPr>
  </w:style>
  <w:style w:type="paragraph" w:styleId="Notedebasdepage">
    <w:name w:val="footnote text"/>
    <w:basedOn w:val="Normal"/>
    <w:link w:val="NotedebasdepageCar"/>
    <w:semiHidden/>
    <w:unhideWhenUsed/>
    <w:rsid w:val="0082250F"/>
    <w:pPr>
      <w:spacing w:line="240" w:lineRule="auto"/>
    </w:pPr>
    <w:rPr>
      <w:sz w:val="20"/>
      <w:szCs w:val="20"/>
    </w:rPr>
  </w:style>
  <w:style w:type="character" w:customStyle="1" w:styleId="NotedebasdepageCar">
    <w:name w:val="Note de bas de page Car"/>
    <w:basedOn w:val="Policepardfaut"/>
    <w:link w:val="Notedebasdepage"/>
    <w:uiPriority w:val="99"/>
    <w:semiHidden/>
    <w:rsid w:val="0082250F"/>
    <w:rPr>
      <w:rFonts w:ascii="Garamond" w:hAnsi="Garamond"/>
      <w:sz w:val="20"/>
      <w:szCs w:val="20"/>
    </w:rPr>
  </w:style>
  <w:style w:type="character" w:styleId="Appelnotedebasdep">
    <w:name w:val="footnote reference"/>
    <w:basedOn w:val="Policepardfaut"/>
    <w:semiHidden/>
    <w:unhideWhenUsed/>
    <w:rsid w:val="0082250F"/>
    <w:rPr>
      <w:vertAlign w:val="superscript"/>
    </w:rPr>
  </w:style>
  <w:style w:type="paragraph" w:styleId="Pieddepage">
    <w:name w:val="footer"/>
    <w:basedOn w:val="Normal"/>
    <w:link w:val="PieddepageCar"/>
    <w:uiPriority w:val="99"/>
    <w:unhideWhenUsed/>
    <w:rsid w:val="00230E3F"/>
    <w:pPr>
      <w:tabs>
        <w:tab w:val="center" w:pos="4536"/>
        <w:tab w:val="right" w:pos="9072"/>
      </w:tabs>
      <w:spacing w:line="240" w:lineRule="auto"/>
    </w:pPr>
  </w:style>
  <w:style w:type="character" w:customStyle="1" w:styleId="PieddepageCar">
    <w:name w:val="Pied de page Car"/>
    <w:basedOn w:val="Policepardfaut"/>
    <w:link w:val="Pieddepage"/>
    <w:uiPriority w:val="99"/>
    <w:rsid w:val="00230E3F"/>
    <w:rPr>
      <w:rFonts w:ascii="Garamond" w:hAnsi="Garamond"/>
    </w:rPr>
  </w:style>
  <w:style w:type="character" w:styleId="Numrodepage">
    <w:name w:val="page number"/>
    <w:basedOn w:val="Policepardfaut"/>
    <w:uiPriority w:val="99"/>
    <w:semiHidden/>
    <w:unhideWhenUsed/>
    <w:rsid w:val="00230E3F"/>
  </w:style>
  <w:style w:type="paragraph" w:styleId="En-tte">
    <w:name w:val="header"/>
    <w:basedOn w:val="Normal"/>
    <w:link w:val="En-tteCar"/>
    <w:uiPriority w:val="99"/>
    <w:unhideWhenUsed/>
    <w:rsid w:val="00230E3F"/>
    <w:pPr>
      <w:tabs>
        <w:tab w:val="center" w:pos="4536"/>
        <w:tab w:val="right" w:pos="9072"/>
      </w:tabs>
      <w:spacing w:line="240" w:lineRule="auto"/>
    </w:pPr>
  </w:style>
  <w:style w:type="character" w:customStyle="1" w:styleId="En-tteCar">
    <w:name w:val="En-tête Car"/>
    <w:basedOn w:val="Policepardfaut"/>
    <w:link w:val="En-tte"/>
    <w:uiPriority w:val="99"/>
    <w:rsid w:val="00230E3F"/>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3975">
      <w:bodyDiv w:val="1"/>
      <w:marLeft w:val="0"/>
      <w:marRight w:val="0"/>
      <w:marTop w:val="0"/>
      <w:marBottom w:val="0"/>
      <w:divBdr>
        <w:top w:val="none" w:sz="0" w:space="0" w:color="auto"/>
        <w:left w:val="none" w:sz="0" w:space="0" w:color="auto"/>
        <w:bottom w:val="none" w:sz="0" w:space="0" w:color="auto"/>
        <w:right w:val="none" w:sz="0" w:space="0" w:color="auto"/>
      </w:divBdr>
    </w:div>
    <w:div w:id="182091323">
      <w:bodyDiv w:val="1"/>
      <w:marLeft w:val="0"/>
      <w:marRight w:val="0"/>
      <w:marTop w:val="0"/>
      <w:marBottom w:val="0"/>
      <w:divBdr>
        <w:top w:val="none" w:sz="0" w:space="0" w:color="auto"/>
        <w:left w:val="none" w:sz="0" w:space="0" w:color="auto"/>
        <w:bottom w:val="none" w:sz="0" w:space="0" w:color="auto"/>
        <w:right w:val="none" w:sz="0" w:space="0" w:color="auto"/>
      </w:divBdr>
    </w:div>
    <w:div w:id="356081058">
      <w:bodyDiv w:val="1"/>
      <w:marLeft w:val="0"/>
      <w:marRight w:val="0"/>
      <w:marTop w:val="0"/>
      <w:marBottom w:val="0"/>
      <w:divBdr>
        <w:top w:val="none" w:sz="0" w:space="0" w:color="auto"/>
        <w:left w:val="none" w:sz="0" w:space="0" w:color="auto"/>
        <w:bottom w:val="none" w:sz="0" w:space="0" w:color="auto"/>
        <w:right w:val="none" w:sz="0" w:space="0" w:color="auto"/>
      </w:divBdr>
    </w:div>
    <w:div w:id="537281446">
      <w:bodyDiv w:val="1"/>
      <w:marLeft w:val="0"/>
      <w:marRight w:val="0"/>
      <w:marTop w:val="0"/>
      <w:marBottom w:val="0"/>
      <w:divBdr>
        <w:top w:val="none" w:sz="0" w:space="0" w:color="auto"/>
        <w:left w:val="none" w:sz="0" w:space="0" w:color="auto"/>
        <w:bottom w:val="none" w:sz="0" w:space="0" w:color="auto"/>
        <w:right w:val="none" w:sz="0" w:space="0" w:color="auto"/>
      </w:divBdr>
    </w:div>
    <w:div w:id="1405109116">
      <w:bodyDiv w:val="1"/>
      <w:marLeft w:val="0"/>
      <w:marRight w:val="0"/>
      <w:marTop w:val="0"/>
      <w:marBottom w:val="0"/>
      <w:divBdr>
        <w:top w:val="none" w:sz="0" w:space="0" w:color="auto"/>
        <w:left w:val="none" w:sz="0" w:space="0" w:color="auto"/>
        <w:bottom w:val="none" w:sz="0" w:space="0" w:color="auto"/>
        <w:right w:val="none" w:sz="0" w:space="0" w:color="auto"/>
      </w:divBdr>
    </w:div>
    <w:div w:id="1601061736">
      <w:bodyDiv w:val="1"/>
      <w:marLeft w:val="0"/>
      <w:marRight w:val="0"/>
      <w:marTop w:val="0"/>
      <w:marBottom w:val="0"/>
      <w:divBdr>
        <w:top w:val="none" w:sz="0" w:space="0" w:color="auto"/>
        <w:left w:val="none" w:sz="0" w:space="0" w:color="auto"/>
        <w:bottom w:val="none" w:sz="0" w:space="0" w:color="auto"/>
        <w:right w:val="none" w:sz="0" w:space="0" w:color="auto"/>
      </w:divBdr>
    </w:div>
    <w:div w:id="1737627348">
      <w:bodyDiv w:val="1"/>
      <w:marLeft w:val="0"/>
      <w:marRight w:val="0"/>
      <w:marTop w:val="0"/>
      <w:marBottom w:val="0"/>
      <w:divBdr>
        <w:top w:val="none" w:sz="0" w:space="0" w:color="auto"/>
        <w:left w:val="none" w:sz="0" w:space="0" w:color="auto"/>
        <w:bottom w:val="none" w:sz="0" w:space="0" w:color="auto"/>
        <w:right w:val="none" w:sz="0" w:space="0" w:color="auto"/>
      </w:divBdr>
      <w:divsChild>
        <w:div w:id="158428240">
          <w:marLeft w:val="0"/>
          <w:marRight w:val="0"/>
          <w:marTop w:val="0"/>
          <w:marBottom w:val="0"/>
          <w:divBdr>
            <w:top w:val="none" w:sz="0" w:space="0" w:color="auto"/>
            <w:left w:val="none" w:sz="0" w:space="0" w:color="auto"/>
            <w:bottom w:val="none" w:sz="0" w:space="0" w:color="auto"/>
            <w:right w:val="none" w:sz="0" w:space="0" w:color="auto"/>
          </w:divBdr>
          <w:divsChild>
            <w:div w:id="1904027040">
              <w:marLeft w:val="0"/>
              <w:marRight w:val="0"/>
              <w:marTop w:val="0"/>
              <w:marBottom w:val="0"/>
              <w:divBdr>
                <w:top w:val="none" w:sz="0" w:space="0" w:color="auto"/>
                <w:left w:val="none" w:sz="0" w:space="0" w:color="auto"/>
                <w:bottom w:val="none" w:sz="0" w:space="0" w:color="auto"/>
                <w:right w:val="none" w:sz="0" w:space="0" w:color="auto"/>
              </w:divBdr>
            </w:div>
            <w:div w:id="1328748813">
              <w:marLeft w:val="0"/>
              <w:marRight w:val="0"/>
              <w:marTop w:val="0"/>
              <w:marBottom w:val="0"/>
              <w:divBdr>
                <w:top w:val="none" w:sz="0" w:space="0" w:color="auto"/>
                <w:left w:val="none" w:sz="0" w:space="0" w:color="auto"/>
                <w:bottom w:val="none" w:sz="0" w:space="0" w:color="auto"/>
                <w:right w:val="none" w:sz="0" w:space="0" w:color="auto"/>
              </w:divBdr>
              <w:divsChild>
                <w:div w:id="1327979705">
                  <w:marLeft w:val="0"/>
                  <w:marRight w:val="0"/>
                  <w:marTop w:val="0"/>
                  <w:marBottom w:val="0"/>
                  <w:divBdr>
                    <w:top w:val="none" w:sz="0" w:space="0" w:color="auto"/>
                    <w:left w:val="none" w:sz="0" w:space="0" w:color="auto"/>
                    <w:bottom w:val="none" w:sz="0" w:space="0" w:color="auto"/>
                    <w:right w:val="none" w:sz="0" w:space="0" w:color="auto"/>
                  </w:divBdr>
                  <w:divsChild>
                    <w:div w:id="2004773221">
                      <w:marLeft w:val="0"/>
                      <w:marRight w:val="0"/>
                      <w:marTop w:val="0"/>
                      <w:marBottom w:val="0"/>
                      <w:divBdr>
                        <w:top w:val="none" w:sz="0" w:space="0" w:color="auto"/>
                        <w:left w:val="none" w:sz="0" w:space="0" w:color="auto"/>
                        <w:bottom w:val="none" w:sz="0" w:space="0" w:color="auto"/>
                        <w:right w:val="none" w:sz="0" w:space="0" w:color="auto"/>
                      </w:divBdr>
                    </w:div>
                    <w:div w:id="220095877">
                      <w:marLeft w:val="300"/>
                      <w:marRight w:val="0"/>
                      <w:marTop w:val="0"/>
                      <w:marBottom w:val="0"/>
                      <w:divBdr>
                        <w:top w:val="none" w:sz="0" w:space="0" w:color="auto"/>
                        <w:left w:val="none" w:sz="0" w:space="0" w:color="auto"/>
                        <w:bottom w:val="none" w:sz="0" w:space="0" w:color="auto"/>
                        <w:right w:val="none" w:sz="0" w:space="0" w:color="auto"/>
                      </w:divBdr>
                      <w:divsChild>
                        <w:div w:id="341787949">
                          <w:marLeft w:val="0"/>
                          <w:marRight w:val="0"/>
                          <w:marTop w:val="0"/>
                          <w:marBottom w:val="0"/>
                          <w:divBdr>
                            <w:top w:val="none" w:sz="0" w:space="0" w:color="auto"/>
                            <w:left w:val="none" w:sz="0" w:space="0" w:color="auto"/>
                            <w:bottom w:val="none" w:sz="0" w:space="0" w:color="auto"/>
                            <w:right w:val="none" w:sz="0" w:space="0" w:color="auto"/>
                          </w:divBdr>
                          <w:divsChild>
                            <w:div w:id="2055738119">
                              <w:marLeft w:val="0"/>
                              <w:marRight w:val="0"/>
                              <w:marTop w:val="0"/>
                              <w:marBottom w:val="0"/>
                              <w:divBdr>
                                <w:top w:val="none" w:sz="0" w:space="0" w:color="auto"/>
                                <w:left w:val="none" w:sz="0" w:space="0" w:color="auto"/>
                                <w:bottom w:val="none" w:sz="0" w:space="0" w:color="auto"/>
                                <w:right w:val="none" w:sz="0" w:space="0" w:color="auto"/>
                              </w:divBdr>
                            </w:div>
                            <w:div w:id="1887986896">
                              <w:marLeft w:val="0"/>
                              <w:marRight w:val="0"/>
                              <w:marTop w:val="0"/>
                              <w:marBottom w:val="0"/>
                              <w:divBdr>
                                <w:top w:val="none" w:sz="0" w:space="0" w:color="auto"/>
                                <w:left w:val="none" w:sz="0" w:space="0" w:color="auto"/>
                                <w:bottom w:val="none" w:sz="0" w:space="0" w:color="auto"/>
                                <w:right w:val="none" w:sz="0" w:space="0" w:color="auto"/>
                              </w:divBdr>
                            </w:div>
                          </w:divsChild>
                        </w:div>
                        <w:div w:id="170852865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8804">
              <w:marLeft w:val="0"/>
              <w:marRight w:val="0"/>
              <w:marTop w:val="0"/>
              <w:marBottom w:val="0"/>
              <w:divBdr>
                <w:top w:val="none" w:sz="0" w:space="0" w:color="auto"/>
                <w:left w:val="none" w:sz="0" w:space="0" w:color="auto"/>
                <w:bottom w:val="none" w:sz="0" w:space="0" w:color="auto"/>
                <w:right w:val="none" w:sz="0" w:space="0" w:color="auto"/>
              </w:divBdr>
              <w:divsChild>
                <w:div w:id="341202313">
                  <w:marLeft w:val="0"/>
                  <w:marRight w:val="0"/>
                  <w:marTop w:val="0"/>
                  <w:marBottom w:val="0"/>
                  <w:divBdr>
                    <w:top w:val="none" w:sz="0" w:space="0" w:color="auto"/>
                    <w:left w:val="none" w:sz="0" w:space="0" w:color="auto"/>
                    <w:bottom w:val="none" w:sz="0" w:space="0" w:color="auto"/>
                    <w:right w:val="none" w:sz="0" w:space="0" w:color="auto"/>
                  </w:divBdr>
                  <w:divsChild>
                    <w:div w:id="551118364">
                      <w:marLeft w:val="0"/>
                      <w:marRight w:val="0"/>
                      <w:marTop w:val="0"/>
                      <w:marBottom w:val="0"/>
                      <w:divBdr>
                        <w:top w:val="none" w:sz="0" w:space="0" w:color="auto"/>
                        <w:left w:val="none" w:sz="0" w:space="0" w:color="auto"/>
                        <w:bottom w:val="none" w:sz="0" w:space="0" w:color="auto"/>
                        <w:right w:val="none" w:sz="0" w:space="0" w:color="auto"/>
                      </w:divBdr>
                    </w:div>
                    <w:div w:id="688993921">
                      <w:marLeft w:val="300"/>
                      <w:marRight w:val="0"/>
                      <w:marTop w:val="0"/>
                      <w:marBottom w:val="0"/>
                      <w:divBdr>
                        <w:top w:val="none" w:sz="0" w:space="0" w:color="auto"/>
                        <w:left w:val="none" w:sz="0" w:space="0" w:color="auto"/>
                        <w:bottom w:val="none" w:sz="0" w:space="0" w:color="auto"/>
                        <w:right w:val="none" w:sz="0" w:space="0" w:color="auto"/>
                      </w:divBdr>
                      <w:divsChild>
                        <w:div w:id="2091002617">
                          <w:marLeft w:val="0"/>
                          <w:marRight w:val="0"/>
                          <w:marTop w:val="0"/>
                          <w:marBottom w:val="0"/>
                          <w:divBdr>
                            <w:top w:val="none" w:sz="0" w:space="0" w:color="auto"/>
                            <w:left w:val="none" w:sz="0" w:space="0" w:color="auto"/>
                            <w:bottom w:val="none" w:sz="0" w:space="0" w:color="auto"/>
                            <w:right w:val="none" w:sz="0" w:space="0" w:color="auto"/>
                          </w:divBdr>
                          <w:divsChild>
                            <w:div w:id="1889952345">
                              <w:marLeft w:val="0"/>
                              <w:marRight w:val="0"/>
                              <w:marTop w:val="0"/>
                              <w:marBottom w:val="0"/>
                              <w:divBdr>
                                <w:top w:val="none" w:sz="0" w:space="0" w:color="auto"/>
                                <w:left w:val="none" w:sz="0" w:space="0" w:color="auto"/>
                                <w:bottom w:val="none" w:sz="0" w:space="0" w:color="auto"/>
                                <w:right w:val="none" w:sz="0" w:space="0" w:color="auto"/>
                              </w:divBdr>
                            </w:div>
                            <w:div w:id="547693512">
                              <w:marLeft w:val="0"/>
                              <w:marRight w:val="0"/>
                              <w:marTop w:val="0"/>
                              <w:marBottom w:val="0"/>
                              <w:divBdr>
                                <w:top w:val="none" w:sz="0" w:space="0" w:color="auto"/>
                                <w:left w:val="none" w:sz="0" w:space="0" w:color="auto"/>
                                <w:bottom w:val="none" w:sz="0" w:space="0" w:color="auto"/>
                                <w:right w:val="none" w:sz="0" w:space="0" w:color="auto"/>
                              </w:divBdr>
                            </w:div>
                            <w:div w:id="21199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8B80A-3ADE-F844-8BD3-43EE7E64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7</Pages>
  <Words>2969</Words>
  <Characters>16334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Magnon</dc:creator>
  <cp:keywords/>
  <dc:description/>
  <cp:lastModifiedBy>Xavier Magnon</cp:lastModifiedBy>
  <cp:revision>69</cp:revision>
  <cp:lastPrinted>2019-02-05T12:28:00Z</cp:lastPrinted>
  <dcterms:created xsi:type="dcterms:W3CDTF">2018-09-26T10:32:00Z</dcterms:created>
  <dcterms:modified xsi:type="dcterms:W3CDTF">2019-02-07T15:23:00Z</dcterms:modified>
</cp:coreProperties>
</file>